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4E1" w:rsidRPr="0009011E" w:rsidRDefault="00B17C38" w:rsidP="00B17C38">
      <w:pPr>
        <w:pStyle w:val="ListParagraph"/>
        <w:ind w:left="0"/>
        <w:contextualSpacing w:val="0"/>
        <w:jc w:val="center"/>
        <w:rPr>
          <w:rFonts w:ascii="Times New Roman" w:hAnsi="Times New Roman" w:cs="Times New Roman"/>
          <w:b/>
        </w:rPr>
      </w:pPr>
      <w:bookmarkStart w:id="0" w:name="_GoBack"/>
      <w:bookmarkEnd w:id="0"/>
      <w:r w:rsidRPr="0009011E">
        <w:rPr>
          <w:rFonts w:ascii="Times New Roman" w:hAnsi="Times New Roman" w:cs="Times New Roman"/>
          <w:b/>
        </w:rPr>
        <w:t>PROPRIETARY ESTOPPEL IN THE COMMERCIAL CONTEXT</w:t>
      </w:r>
    </w:p>
    <w:p w:rsidR="00B17C38" w:rsidRPr="0009011E" w:rsidRDefault="00B17C38" w:rsidP="00B17C38">
      <w:pPr>
        <w:pStyle w:val="ListParagraph"/>
        <w:ind w:left="0"/>
        <w:contextualSpacing w:val="0"/>
        <w:jc w:val="center"/>
        <w:rPr>
          <w:rFonts w:ascii="Times New Roman" w:hAnsi="Times New Roman" w:cs="Times New Roman"/>
          <w:i/>
        </w:rPr>
      </w:pPr>
      <w:r w:rsidRPr="0009011E">
        <w:rPr>
          <w:rFonts w:ascii="Times New Roman" w:hAnsi="Times New Roman" w:cs="Times New Roman"/>
        </w:rPr>
        <w:t>Ben McFarlane, Professor of Law, University College London</w:t>
      </w:r>
      <w:r w:rsidR="0009011E">
        <w:rPr>
          <w:rFonts w:ascii="Times New Roman" w:hAnsi="Times New Roman" w:cs="Times New Roman"/>
        </w:rPr>
        <w:t xml:space="preserve">; </w:t>
      </w:r>
      <w:r w:rsidRPr="0009011E">
        <w:rPr>
          <w:rFonts w:ascii="Times New Roman" w:hAnsi="Times New Roman" w:cs="Times New Roman"/>
          <w:i/>
        </w:rPr>
        <w:t>ben.mcfarlane@ucl.ac.uk</w:t>
      </w:r>
    </w:p>
    <w:p w:rsidR="00B17C38" w:rsidRPr="0009011E" w:rsidRDefault="00B17C38" w:rsidP="00B17C38">
      <w:pPr>
        <w:pStyle w:val="ListParagraph"/>
        <w:ind w:left="0"/>
        <w:contextualSpacing w:val="0"/>
        <w:rPr>
          <w:rFonts w:ascii="Times New Roman" w:hAnsi="Times New Roman" w:cs="Times New Roman"/>
          <w:b/>
        </w:rPr>
      </w:pPr>
      <w:r w:rsidRPr="0009011E">
        <w:rPr>
          <w:rFonts w:ascii="Times New Roman" w:hAnsi="Times New Roman" w:cs="Times New Roman"/>
          <w:b/>
        </w:rPr>
        <w:t>The Context</w:t>
      </w:r>
      <w:r w:rsidR="00AD3FCD" w:rsidRPr="0009011E">
        <w:rPr>
          <w:rFonts w:ascii="Times New Roman" w:hAnsi="Times New Roman" w:cs="Times New Roman"/>
          <w:b/>
        </w:rPr>
        <w:t xml:space="preserve"> and the Argument</w:t>
      </w:r>
    </w:p>
    <w:p w:rsidR="00B17C38" w:rsidRPr="0009011E" w:rsidRDefault="00B17C38" w:rsidP="00AE54E1">
      <w:pPr>
        <w:pStyle w:val="ListParagraph"/>
        <w:numPr>
          <w:ilvl w:val="0"/>
          <w:numId w:val="7"/>
        </w:numPr>
        <w:ind w:left="0"/>
        <w:contextualSpacing w:val="0"/>
        <w:rPr>
          <w:rFonts w:ascii="Times New Roman" w:hAnsi="Times New Roman" w:cs="Times New Roman"/>
        </w:rPr>
      </w:pPr>
      <w:r w:rsidRPr="0009011E">
        <w:rPr>
          <w:rFonts w:ascii="Times New Roman" w:hAnsi="Times New Roman" w:cs="Times New Roman"/>
        </w:rPr>
        <w:t xml:space="preserve">The law of proprietary estoppel has evolved very rapidly over the past fifty years. As demonstrated by the well-known decision of the House of Lords in </w:t>
      </w:r>
      <w:proofErr w:type="spellStart"/>
      <w:r w:rsidRPr="0009011E">
        <w:rPr>
          <w:rFonts w:ascii="Times New Roman" w:hAnsi="Times New Roman" w:cs="Times New Roman"/>
          <w:i/>
        </w:rPr>
        <w:t>Thorner</w:t>
      </w:r>
      <w:proofErr w:type="spellEnd"/>
      <w:r w:rsidRPr="0009011E">
        <w:rPr>
          <w:rFonts w:ascii="Times New Roman" w:hAnsi="Times New Roman" w:cs="Times New Roman"/>
          <w:i/>
        </w:rPr>
        <w:t xml:space="preserve"> v Major </w:t>
      </w:r>
      <w:r w:rsidRPr="0009011E">
        <w:rPr>
          <w:rFonts w:ascii="Times New Roman" w:hAnsi="Times New Roman" w:cs="Times New Roman"/>
        </w:rPr>
        <w:t xml:space="preserve">[2009] UKHL 18, [2009] 1 WLR 776, it has proved to be an effective means of providing redress to a party who has relied on a belief that he or she has or will acquire a right in another’s land, but has neither formally </w:t>
      </w:r>
      <w:r w:rsidR="00347D40">
        <w:rPr>
          <w:rFonts w:ascii="Times New Roman" w:hAnsi="Times New Roman" w:cs="Times New Roman"/>
        </w:rPr>
        <w:t>been granted</w:t>
      </w:r>
      <w:r w:rsidRPr="0009011E">
        <w:rPr>
          <w:rFonts w:ascii="Times New Roman" w:hAnsi="Times New Roman" w:cs="Times New Roman"/>
        </w:rPr>
        <w:t xml:space="preserve"> such a right</w:t>
      </w:r>
      <w:r w:rsidR="00347D40">
        <w:rPr>
          <w:rFonts w:ascii="Times New Roman" w:hAnsi="Times New Roman" w:cs="Times New Roman"/>
        </w:rPr>
        <w:t xml:space="preserve"> (inter </w:t>
      </w:r>
      <w:proofErr w:type="spellStart"/>
      <w:r w:rsidR="00347D40">
        <w:rPr>
          <w:rFonts w:ascii="Times New Roman" w:hAnsi="Times New Roman" w:cs="Times New Roman"/>
        </w:rPr>
        <w:t>vivos</w:t>
      </w:r>
      <w:proofErr w:type="spellEnd"/>
      <w:r w:rsidR="00347D40">
        <w:rPr>
          <w:rFonts w:ascii="Times New Roman" w:hAnsi="Times New Roman" w:cs="Times New Roman"/>
        </w:rPr>
        <w:t xml:space="preserve"> or by will)</w:t>
      </w:r>
      <w:r w:rsidRPr="0009011E">
        <w:rPr>
          <w:rFonts w:ascii="Times New Roman" w:hAnsi="Times New Roman" w:cs="Times New Roman"/>
        </w:rPr>
        <w:t xml:space="preserve">, nor has the benefit of a contract that such a right will be granted. </w:t>
      </w:r>
    </w:p>
    <w:p w:rsidR="00B17C38" w:rsidRPr="0009011E" w:rsidRDefault="00B17C38" w:rsidP="00AE54E1">
      <w:pPr>
        <w:pStyle w:val="ListParagraph"/>
        <w:numPr>
          <w:ilvl w:val="0"/>
          <w:numId w:val="7"/>
        </w:numPr>
        <w:ind w:left="0"/>
        <w:contextualSpacing w:val="0"/>
        <w:rPr>
          <w:rFonts w:ascii="Times New Roman" w:hAnsi="Times New Roman" w:cs="Times New Roman"/>
        </w:rPr>
      </w:pPr>
      <w:proofErr w:type="spellStart"/>
      <w:r w:rsidRPr="0009011E">
        <w:rPr>
          <w:rFonts w:ascii="Times New Roman" w:hAnsi="Times New Roman" w:cs="Times New Roman"/>
          <w:i/>
        </w:rPr>
        <w:t>Thorner</w:t>
      </w:r>
      <w:proofErr w:type="spellEnd"/>
      <w:r w:rsidRPr="0009011E">
        <w:rPr>
          <w:rFonts w:ascii="Times New Roman" w:hAnsi="Times New Roman" w:cs="Times New Roman"/>
        </w:rPr>
        <w:t>, along with a number of other prominent proprietary estoppel cases, arose in a squarely domestic context</w:t>
      </w:r>
      <w:r w:rsidR="00B8726B">
        <w:rPr>
          <w:rFonts w:ascii="Times New Roman" w:hAnsi="Times New Roman" w:cs="Times New Roman"/>
        </w:rPr>
        <w:t>. It</w:t>
      </w:r>
      <w:r w:rsidRPr="0009011E">
        <w:rPr>
          <w:rFonts w:ascii="Times New Roman" w:hAnsi="Times New Roman" w:cs="Times New Roman"/>
        </w:rPr>
        <w:t xml:space="preserve"> has been suggested that: “In law, ‘context is everything’ and the domestic context is very different from the commercial world” (</w:t>
      </w:r>
      <w:r w:rsidRPr="0009011E">
        <w:rPr>
          <w:rFonts w:ascii="Times New Roman" w:hAnsi="Times New Roman" w:cs="Times New Roman"/>
          <w:i/>
        </w:rPr>
        <w:t xml:space="preserve">per </w:t>
      </w:r>
      <w:proofErr w:type="spellStart"/>
      <w:r w:rsidRPr="0009011E">
        <w:rPr>
          <w:rFonts w:ascii="Times New Roman" w:hAnsi="Times New Roman" w:cs="Times New Roman"/>
        </w:rPr>
        <w:t>Baronness</w:t>
      </w:r>
      <w:proofErr w:type="spellEnd"/>
      <w:r w:rsidRPr="0009011E">
        <w:rPr>
          <w:rFonts w:ascii="Times New Roman" w:hAnsi="Times New Roman" w:cs="Times New Roman"/>
        </w:rPr>
        <w:t xml:space="preserve"> Hale in </w:t>
      </w:r>
      <w:r w:rsidRPr="0009011E">
        <w:rPr>
          <w:rFonts w:ascii="Times New Roman" w:hAnsi="Times New Roman" w:cs="Times New Roman"/>
          <w:i/>
        </w:rPr>
        <w:t xml:space="preserve">Stack v Dowden </w:t>
      </w:r>
      <w:r w:rsidRPr="0009011E">
        <w:rPr>
          <w:rFonts w:ascii="Times New Roman" w:hAnsi="Times New Roman" w:cs="Times New Roman"/>
        </w:rPr>
        <w:t xml:space="preserve">[2007] 2 AC 432 at [69]). In </w:t>
      </w:r>
      <w:proofErr w:type="spellStart"/>
      <w:r w:rsidRPr="0009011E">
        <w:rPr>
          <w:rFonts w:ascii="Times New Roman" w:hAnsi="Times New Roman" w:cs="Times New Roman"/>
          <w:i/>
        </w:rPr>
        <w:t>Thorner</w:t>
      </w:r>
      <w:proofErr w:type="spellEnd"/>
      <w:r w:rsidRPr="0009011E">
        <w:rPr>
          <w:rFonts w:ascii="Times New Roman" w:hAnsi="Times New Roman" w:cs="Times New Roman"/>
        </w:rPr>
        <w:t>, Lord Neuberger (at [96]</w:t>
      </w:r>
      <w:r w:rsidR="00AD3FCD" w:rsidRPr="0009011E">
        <w:rPr>
          <w:rFonts w:ascii="Times New Roman" w:hAnsi="Times New Roman" w:cs="Times New Roman"/>
        </w:rPr>
        <w:t>-[97]</w:t>
      </w:r>
      <w:r w:rsidRPr="0009011E">
        <w:rPr>
          <w:rFonts w:ascii="Times New Roman" w:hAnsi="Times New Roman" w:cs="Times New Roman"/>
        </w:rPr>
        <w:t xml:space="preserve">) </w:t>
      </w:r>
      <w:r w:rsidR="00AD3FCD" w:rsidRPr="0009011E">
        <w:rPr>
          <w:rFonts w:ascii="Times New Roman" w:hAnsi="Times New Roman" w:cs="Times New Roman"/>
        </w:rPr>
        <w:t xml:space="preserve">categorised the parties’ relationship as “familial and personal” as opposed to “arm’s length and commercial” and, writing extra-judicially, has also suggested that “before he can establish a proprietary estoppel claim, a claimant must show that he acted in the belief that he has something which can be characterised as a legal right – at least in a commercial arm’s length context.” Certainly, given the decision of the House of Lords in </w:t>
      </w:r>
      <w:proofErr w:type="spellStart"/>
      <w:r w:rsidR="00AD3FCD" w:rsidRPr="0009011E">
        <w:rPr>
          <w:rFonts w:ascii="Times New Roman" w:hAnsi="Times New Roman" w:cs="Times New Roman"/>
          <w:i/>
        </w:rPr>
        <w:t>Cobbe</w:t>
      </w:r>
      <w:proofErr w:type="spellEnd"/>
      <w:r w:rsidR="00AD3FCD" w:rsidRPr="0009011E">
        <w:rPr>
          <w:rFonts w:ascii="Times New Roman" w:hAnsi="Times New Roman" w:cs="Times New Roman"/>
          <w:i/>
        </w:rPr>
        <w:t xml:space="preserve"> v Yeoman’s Row Management Ltd </w:t>
      </w:r>
      <w:r w:rsidR="00AD3FCD" w:rsidRPr="0009011E">
        <w:rPr>
          <w:rFonts w:ascii="Times New Roman" w:hAnsi="Times New Roman" w:cs="Times New Roman"/>
        </w:rPr>
        <w:t xml:space="preserve">[2008] UKHL 55, [2008] 1 WLR 1752 and that of the Court of Appeal in </w:t>
      </w:r>
      <w:proofErr w:type="spellStart"/>
      <w:r w:rsidR="00AD3FCD" w:rsidRPr="0009011E">
        <w:rPr>
          <w:rFonts w:ascii="Times New Roman" w:hAnsi="Times New Roman" w:cs="Times New Roman"/>
          <w:i/>
        </w:rPr>
        <w:t>Crossco</w:t>
      </w:r>
      <w:proofErr w:type="spellEnd"/>
      <w:r w:rsidR="00AD3FCD" w:rsidRPr="0009011E">
        <w:rPr>
          <w:rFonts w:ascii="Times New Roman" w:hAnsi="Times New Roman" w:cs="Times New Roman"/>
          <w:i/>
        </w:rPr>
        <w:t xml:space="preserve"> No 4 Unlimited v </w:t>
      </w:r>
      <w:proofErr w:type="spellStart"/>
      <w:r w:rsidR="00AD3FCD" w:rsidRPr="0009011E">
        <w:rPr>
          <w:rFonts w:ascii="Times New Roman" w:hAnsi="Times New Roman" w:cs="Times New Roman"/>
          <w:i/>
        </w:rPr>
        <w:t>Jolan</w:t>
      </w:r>
      <w:proofErr w:type="spellEnd"/>
      <w:r w:rsidR="00AD3FCD" w:rsidRPr="0009011E">
        <w:rPr>
          <w:rFonts w:ascii="Times New Roman" w:hAnsi="Times New Roman" w:cs="Times New Roman"/>
          <w:i/>
        </w:rPr>
        <w:t xml:space="preserve"> Ltd </w:t>
      </w:r>
      <w:r w:rsidR="00AD3FCD" w:rsidRPr="0009011E">
        <w:rPr>
          <w:rFonts w:ascii="Times New Roman" w:hAnsi="Times New Roman" w:cs="Times New Roman"/>
        </w:rPr>
        <w:t xml:space="preserve">[2011] EWCA </w:t>
      </w:r>
      <w:proofErr w:type="spellStart"/>
      <w:r w:rsidR="00AD3FCD" w:rsidRPr="0009011E">
        <w:rPr>
          <w:rFonts w:ascii="Times New Roman" w:hAnsi="Times New Roman" w:cs="Times New Roman"/>
        </w:rPr>
        <w:t>Civ</w:t>
      </w:r>
      <w:proofErr w:type="spellEnd"/>
      <w:r w:rsidR="00AD3FCD" w:rsidRPr="0009011E">
        <w:rPr>
          <w:rFonts w:ascii="Times New Roman" w:hAnsi="Times New Roman" w:cs="Times New Roman"/>
        </w:rPr>
        <w:t xml:space="preserve"> 1619, [2012] 2 All ER 754, it might seem that proprietary estoppel has little or no role to play in the commercial context.</w:t>
      </w:r>
    </w:p>
    <w:p w:rsidR="00B17C38" w:rsidRPr="0009011E" w:rsidRDefault="00E239E4" w:rsidP="001970F0">
      <w:pPr>
        <w:pStyle w:val="ListParagraph"/>
        <w:numPr>
          <w:ilvl w:val="0"/>
          <w:numId w:val="7"/>
        </w:numPr>
        <w:ind w:left="0"/>
        <w:contextualSpacing w:val="0"/>
        <w:rPr>
          <w:rFonts w:ascii="Times New Roman" w:hAnsi="Times New Roman" w:cs="Times New Roman"/>
        </w:rPr>
      </w:pPr>
      <w:r w:rsidRPr="0009011E">
        <w:rPr>
          <w:rFonts w:ascii="Times New Roman" w:hAnsi="Times New Roman" w:cs="Times New Roman"/>
        </w:rPr>
        <w:t xml:space="preserve">The better view, it is submitted, is that whilst it is important for the limits of the doctrine to be recognised, those limits can be deduced from the specific principles operating in proprietary estoppel, </w:t>
      </w:r>
      <w:r w:rsidR="00B8726B">
        <w:rPr>
          <w:rFonts w:ascii="Times New Roman" w:hAnsi="Times New Roman" w:cs="Times New Roman"/>
        </w:rPr>
        <w:t xml:space="preserve">and need not depend on </w:t>
      </w:r>
      <w:r w:rsidRPr="0009011E">
        <w:rPr>
          <w:rFonts w:ascii="Times New Roman" w:hAnsi="Times New Roman" w:cs="Times New Roman"/>
        </w:rPr>
        <w:t>a nec</w:t>
      </w:r>
      <w:r w:rsidR="00B8726B">
        <w:rPr>
          <w:rFonts w:ascii="Times New Roman" w:hAnsi="Times New Roman" w:cs="Times New Roman"/>
        </w:rPr>
        <w:t>essarily arbitrary and unclear divide</w:t>
      </w:r>
      <w:r w:rsidRPr="0009011E">
        <w:rPr>
          <w:rFonts w:ascii="Times New Roman" w:hAnsi="Times New Roman" w:cs="Times New Roman"/>
        </w:rPr>
        <w:t xml:space="preserve"> between domestic and commercial cases. </w:t>
      </w:r>
      <w:r w:rsidR="00B8726B">
        <w:rPr>
          <w:rFonts w:ascii="Times New Roman" w:hAnsi="Times New Roman" w:cs="Times New Roman"/>
        </w:rPr>
        <w:t>Successful c</w:t>
      </w:r>
      <w:r w:rsidR="007576D0">
        <w:rPr>
          <w:rFonts w:ascii="Times New Roman" w:hAnsi="Times New Roman" w:cs="Times New Roman"/>
        </w:rPr>
        <w:t xml:space="preserve">ommercial </w:t>
      </w:r>
      <w:r w:rsidR="00D14031">
        <w:rPr>
          <w:rFonts w:ascii="Times New Roman" w:hAnsi="Times New Roman" w:cs="Times New Roman"/>
        </w:rPr>
        <w:t>c</w:t>
      </w:r>
      <w:r w:rsidR="00B8726B">
        <w:rPr>
          <w:rFonts w:ascii="Times New Roman" w:hAnsi="Times New Roman" w:cs="Times New Roman"/>
        </w:rPr>
        <w:t>laims have been recognised both before</w:t>
      </w:r>
      <w:r w:rsidR="00B8726B">
        <w:rPr>
          <w:rStyle w:val="FootnoteReference"/>
          <w:rFonts w:ascii="Times New Roman" w:hAnsi="Times New Roman" w:cs="Times New Roman"/>
        </w:rPr>
        <w:footnoteReference w:id="1"/>
      </w:r>
      <w:r w:rsidR="00B8726B">
        <w:rPr>
          <w:rFonts w:ascii="Times New Roman" w:hAnsi="Times New Roman" w:cs="Times New Roman"/>
        </w:rPr>
        <w:t xml:space="preserve"> and after</w:t>
      </w:r>
      <w:r w:rsidR="00B8726B">
        <w:rPr>
          <w:rStyle w:val="FootnoteReference"/>
          <w:rFonts w:ascii="Times New Roman" w:hAnsi="Times New Roman" w:cs="Times New Roman"/>
        </w:rPr>
        <w:footnoteReference w:id="2"/>
      </w:r>
      <w:r w:rsidRPr="0009011E">
        <w:rPr>
          <w:rFonts w:ascii="Times New Roman" w:hAnsi="Times New Roman" w:cs="Times New Roman"/>
        </w:rPr>
        <w:t xml:space="preserve"> </w:t>
      </w:r>
      <w:proofErr w:type="spellStart"/>
      <w:r w:rsidR="001970F0" w:rsidRPr="0009011E">
        <w:rPr>
          <w:rFonts w:ascii="Times New Roman" w:hAnsi="Times New Roman" w:cs="Times New Roman"/>
          <w:i/>
        </w:rPr>
        <w:t>Cobbe</w:t>
      </w:r>
      <w:proofErr w:type="spellEnd"/>
      <w:r w:rsidR="00B8726B">
        <w:rPr>
          <w:rFonts w:ascii="Times New Roman" w:hAnsi="Times New Roman" w:cs="Times New Roman"/>
        </w:rPr>
        <w:t>.</w:t>
      </w:r>
      <w:r w:rsidR="001970F0" w:rsidRPr="0009011E">
        <w:rPr>
          <w:rFonts w:ascii="Times New Roman" w:hAnsi="Times New Roman" w:cs="Times New Roman"/>
          <w:i/>
        </w:rPr>
        <w:t xml:space="preserve"> </w:t>
      </w:r>
    </w:p>
    <w:p w:rsidR="00B17C38" w:rsidRPr="0009011E" w:rsidRDefault="001970F0" w:rsidP="001970F0">
      <w:pPr>
        <w:pStyle w:val="ListParagraph"/>
        <w:ind w:left="0"/>
        <w:contextualSpacing w:val="0"/>
        <w:rPr>
          <w:rFonts w:ascii="Times New Roman" w:hAnsi="Times New Roman" w:cs="Times New Roman"/>
          <w:b/>
        </w:rPr>
      </w:pPr>
      <w:r w:rsidRPr="0009011E">
        <w:rPr>
          <w:rFonts w:ascii="Times New Roman" w:hAnsi="Times New Roman" w:cs="Times New Roman"/>
          <w:b/>
        </w:rPr>
        <w:t>The Nature of Proprietary Estoppel</w:t>
      </w:r>
    </w:p>
    <w:p w:rsidR="001970F0" w:rsidRPr="0009011E" w:rsidRDefault="001970F0" w:rsidP="00AE54E1">
      <w:pPr>
        <w:pStyle w:val="ListParagraph"/>
        <w:numPr>
          <w:ilvl w:val="0"/>
          <w:numId w:val="7"/>
        </w:numPr>
        <w:ind w:left="0"/>
        <w:contextualSpacing w:val="0"/>
        <w:rPr>
          <w:rFonts w:ascii="Times New Roman" w:hAnsi="Times New Roman" w:cs="Times New Roman"/>
        </w:rPr>
      </w:pPr>
      <w:r w:rsidRPr="0009011E">
        <w:rPr>
          <w:rFonts w:ascii="Times New Roman" w:hAnsi="Times New Roman" w:cs="Times New Roman"/>
        </w:rPr>
        <w:t xml:space="preserve">In </w:t>
      </w:r>
      <w:r w:rsidRPr="0009011E">
        <w:rPr>
          <w:rFonts w:ascii="Times New Roman" w:hAnsi="Times New Roman" w:cs="Times New Roman"/>
          <w:i/>
        </w:rPr>
        <w:t xml:space="preserve">Appleby v </w:t>
      </w:r>
      <w:proofErr w:type="spellStart"/>
      <w:r w:rsidRPr="0009011E">
        <w:rPr>
          <w:rFonts w:ascii="Times New Roman" w:hAnsi="Times New Roman" w:cs="Times New Roman"/>
          <w:i/>
        </w:rPr>
        <w:t>Cowley</w:t>
      </w:r>
      <w:proofErr w:type="spellEnd"/>
      <w:r w:rsidRPr="0009011E">
        <w:rPr>
          <w:rFonts w:ascii="Times New Roman" w:hAnsi="Times New Roman" w:cs="Times New Roman"/>
          <w:i/>
        </w:rPr>
        <w:t xml:space="preserve"> </w:t>
      </w:r>
      <w:r w:rsidRPr="0009011E">
        <w:rPr>
          <w:rFonts w:ascii="Times New Roman" w:hAnsi="Times New Roman" w:cs="Times New Roman"/>
        </w:rPr>
        <w:t xml:space="preserve">(Times, 14 April 1982, Ch), </w:t>
      </w:r>
      <w:proofErr w:type="spellStart"/>
      <w:r w:rsidRPr="0009011E">
        <w:rPr>
          <w:rFonts w:ascii="Times New Roman" w:hAnsi="Times New Roman" w:cs="Times New Roman"/>
        </w:rPr>
        <w:t>Megarry</w:t>
      </w:r>
      <w:proofErr w:type="spellEnd"/>
      <w:r w:rsidRPr="0009011E">
        <w:rPr>
          <w:rFonts w:ascii="Times New Roman" w:hAnsi="Times New Roman" w:cs="Times New Roman"/>
        </w:rPr>
        <w:t xml:space="preserve"> V-C suggested that: “it may be that in cases in which a claim based on proprietary estoppel is made, the real question comes down simply to whether or not the assertion of strict legal rights would be unconscionable, without any detailed conditions or criteria being specified.”</w:t>
      </w:r>
      <w:r w:rsidR="00F94897" w:rsidRPr="0009011E">
        <w:rPr>
          <w:rFonts w:ascii="Times New Roman" w:hAnsi="Times New Roman" w:cs="Times New Roman"/>
        </w:rPr>
        <w:t xml:space="preserve"> It is now clear, however, that the doctrine has specific requirements that must be proved by the claimant: as Lord Scott noted in </w:t>
      </w:r>
      <w:proofErr w:type="spellStart"/>
      <w:r w:rsidR="00F94897" w:rsidRPr="0009011E">
        <w:rPr>
          <w:rFonts w:ascii="Times New Roman" w:hAnsi="Times New Roman" w:cs="Times New Roman"/>
          <w:i/>
        </w:rPr>
        <w:t>Cobbe</w:t>
      </w:r>
      <w:proofErr w:type="spellEnd"/>
      <w:r w:rsidR="00F94897" w:rsidRPr="0009011E">
        <w:rPr>
          <w:rFonts w:ascii="Times New Roman" w:hAnsi="Times New Roman" w:cs="Times New Roman"/>
          <w:i/>
        </w:rPr>
        <w:t xml:space="preserve"> </w:t>
      </w:r>
      <w:r w:rsidR="00F94897" w:rsidRPr="0009011E">
        <w:rPr>
          <w:rFonts w:ascii="Times New Roman" w:hAnsi="Times New Roman" w:cs="Times New Roman"/>
        </w:rPr>
        <w:t>(at [16]): “unconscionability of conduct may well lead to a remedy but, in my opinion, proprietary estoppel cannot be the route to it unless the ingredients for a proprietary estoppel are present.”</w:t>
      </w:r>
    </w:p>
    <w:p w:rsidR="00036E34" w:rsidRPr="0009011E" w:rsidRDefault="00F94897" w:rsidP="00036E34">
      <w:pPr>
        <w:pStyle w:val="ListParagraph"/>
        <w:numPr>
          <w:ilvl w:val="0"/>
          <w:numId w:val="7"/>
        </w:numPr>
        <w:ind w:left="0"/>
        <w:contextualSpacing w:val="0"/>
        <w:rPr>
          <w:rFonts w:ascii="Times New Roman" w:hAnsi="Times New Roman" w:cs="Times New Roman"/>
          <w:b/>
          <w:i/>
        </w:rPr>
      </w:pPr>
      <w:r w:rsidRPr="0009011E">
        <w:rPr>
          <w:rFonts w:ascii="Times New Roman" w:hAnsi="Times New Roman" w:cs="Times New Roman"/>
        </w:rPr>
        <w:t xml:space="preserve">Those ingredients can best be understood by </w:t>
      </w:r>
      <w:r w:rsidR="00165EB8" w:rsidRPr="0009011E">
        <w:rPr>
          <w:rFonts w:ascii="Times New Roman" w:hAnsi="Times New Roman" w:cs="Times New Roman"/>
        </w:rPr>
        <w:t>identify</w:t>
      </w:r>
      <w:r w:rsidRPr="0009011E">
        <w:rPr>
          <w:rFonts w:ascii="Times New Roman" w:hAnsi="Times New Roman" w:cs="Times New Roman"/>
        </w:rPr>
        <w:t>ing</w:t>
      </w:r>
      <w:r w:rsidR="00165EB8" w:rsidRPr="0009011E">
        <w:rPr>
          <w:rFonts w:ascii="Times New Roman" w:hAnsi="Times New Roman" w:cs="Times New Roman"/>
        </w:rPr>
        <w:t>, and distinguish between, three distinct strands of proprietary estoppel, each of w</w:t>
      </w:r>
      <w:r w:rsidR="00E662D1" w:rsidRPr="0009011E">
        <w:rPr>
          <w:rFonts w:ascii="Times New Roman" w:hAnsi="Times New Roman" w:cs="Times New Roman"/>
        </w:rPr>
        <w:t xml:space="preserve">hich has different requirements. The first of these is based on A’s </w:t>
      </w:r>
      <w:r w:rsidR="00E662D1" w:rsidRPr="0009011E">
        <w:rPr>
          <w:rFonts w:ascii="Times New Roman" w:hAnsi="Times New Roman" w:cs="Times New Roman"/>
          <w:i/>
        </w:rPr>
        <w:t>acquiescence</w:t>
      </w:r>
      <w:r w:rsidR="00E662D1" w:rsidRPr="0009011E">
        <w:rPr>
          <w:rFonts w:ascii="Times New Roman" w:hAnsi="Times New Roman" w:cs="Times New Roman"/>
        </w:rPr>
        <w:t xml:space="preserve"> in B’s mistaken belief as to B’s current rights; the second on a </w:t>
      </w:r>
      <w:r w:rsidR="00E662D1" w:rsidRPr="0009011E">
        <w:rPr>
          <w:rFonts w:ascii="Times New Roman" w:hAnsi="Times New Roman" w:cs="Times New Roman"/>
          <w:i/>
        </w:rPr>
        <w:t>representation</w:t>
      </w:r>
      <w:r w:rsidR="00E662D1" w:rsidRPr="0009011E">
        <w:rPr>
          <w:rFonts w:ascii="Times New Roman" w:hAnsi="Times New Roman" w:cs="Times New Roman"/>
        </w:rPr>
        <w:t xml:space="preserve"> of </w:t>
      </w:r>
      <w:r w:rsidR="00DF47D2" w:rsidRPr="0009011E">
        <w:rPr>
          <w:rFonts w:ascii="Times New Roman" w:hAnsi="Times New Roman" w:cs="Times New Roman"/>
        </w:rPr>
        <w:t xml:space="preserve">an </w:t>
      </w:r>
      <w:r w:rsidR="00E662D1" w:rsidRPr="0009011E">
        <w:rPr>
          <w:rFonts w:ascii="Times New Roman" w:hAnsi="Times New Roman" w:cs="Times New Roman"/>
        </w:rPr>
        <w:t xml:space="preserve">existing </w:t>
      </w:r>
      <w:r w:rsidR="00DF47D2" w:rsidRPr="0009011E">
        <w:rPr>
          <w:rFonts w:ascii="Times New Roman" w:hAnsi="Times New Roman" w:cs="Times New Roman"/>
        </w:rPr>
        <w:t>state of affairs</w:t>
      </w:r>
      <w:r w:rsidR="00E662D1" w:rsidRPr="0009011E">
        <w:rPr>
          <w:rFonts w:ascii="Times New Roman" w:hAnsi="Times New Roman" w:cs="Times New Roman"/>
        </w:rPr>
        <w:t xml:space="preserve"> made by A to B; the third</w:t>
      </w:r>
      <w:r w:rsidRPr="0009011E">
        <w:rPr>
          <w:rFonts w:ascii="Times New Roman" w:hAnsi="Times New Roman" w:cs="Times New Roman"/>
        </w:rPr>
        <w:t xml:space="preserve"> </w:t>
      </w:r>
      <w:r w:rsidR="00E662D1" w:rsidRPr="0009011E">
        <w:rPr>
          <w:rFonts w:ascii="Times New Roman" w:hAnsi="Times New Roman" w:cs="Times New Roman"/>
        </w:rPr>
        <w:t>is based on A’</w:t>
      </w:r>
      <w:r w:rsidR="00036E34" w:rsidRPr="0009011E">
        <w:rPr>
          <w:rFonts w:ascii="Times New Roman" w:hAnsi="Times New Roman" w:cs="Times New Roman"/>
        </w:rPr>
        <w:t xml:space="preserve">s </w:t>
      </w:r>
      <w:r w:rsidR="00036E34" w:rsidRPr="0009011E">
        <w:rPr>
          <w:rFonts w:ascii="Times New Roman" w:hAnsi="Times New Roman" w:cs="Times New Roman"/>
          <w:i/>
        </w:rPr>
        <w:t>promise</w:t>
      </w:r>
      <w:r w:rsidR="00036E34" w:rsidRPr="0009011E">
        <w:rPr>
          <w:rFonts w:ascii="Times New Roman" w:hAnsi="Times New Roman" w:cs="Times New Roman"/>
        </w:rPr>
        <w:t xml:space="preserve"> to B. </w:t>
      </w:r>
      <w:r w:rsidR="002A2B2A" w:rsidRPr="0009011E">
        <w:rPr>
          <w:rFonts w:ascii="Times New Roman" w:hAnsi="Times New Roman" w:cs="Times New Roman"/>
        </w:rPr>
        <w:t>In parti</w:t>
      </w:r>
      <w:r w:rsidR="00530F59" w:rsidRPr="0009011E">
        <w:rPr>
          <w:rFonts w:ascii="Times New Roman" w:hAnsi="Times New Roman" w:cs="Times New Roman"/>
        </w:rPr>
        <w:t xml:space="preserve">cular, principles developed in </w:t>
      </w:r>
      <w:r w:rsidR="002A2B2A" w:rsidRPr="0009011E">
        <w:rPr>
          <w:rFonts w:ascii="Times New Roman" w:hAnsi="Times New Roman" w:cs="Times New Roman"/>
        </w:rPr>
        <w:t xml:space="preserve">relation to </w:t>
      </w:r>
      <w:r w:rsidR="00530F59" w:rsidRPr="0009011E">
        <w:rPr>
          <w:rFonts w:ascii="Times New Roman" w:hAnsi="Times New Roman" w:cs="Times New Roman"/>
        </w:rPr>
        <w:t xml:space="preserve">each of </w:t>
      </w:r>
      <w:r w:rsidR="002A2B2A" w:rsidRPr="0009011E">
        <w:rPr>
          <w:rFonts w:ascii="Times New Roman" w:hAnsi="Times New Roman" w:cs="Times New Roman"/>
        </w:rPr>
        <w:t xml:space="preserve">the longer-established acquiescence and representation-based strands may well be ill-suited to the more recently developed, but more practically important, promise-based </w:t>
      </w:r>
      <w:r w:rsidR="00530F59" w:rsidRPr="0009011E">
        <w:rPr>
          <w:rFonts w:ascii="Times New Roman" w:hAnsi="Times New Roman" w:cs="Times New Roman"/>
        </w:rPr>
        <w:t xml:space="preserve">strand </w:t>
      </w:r>
      <w:r w:rsidR="002A2B2A" w:rsidRPr="0009011E">
        <w:rPr>
          <w:rFonts w:ascii="Times New Roman" w:hAnsi="Times New Roman" w:cs="Times New Roman"/>
        </w:rPr>
        <w:t xml:space="preserve">applied in </w:t>
      </w:r>
      <w:proofErr w:type="spellStart"/>
      <w:r w:rsidRPr="0009011E">
        <w:rPr>
          <w:rFonts w:ascii="Times New Roman" w:hAnsi="Times New Roman" w:cs="Times New Roman"/>
        </w:rPr>
        <w:t>eg</w:t>
      </w:r>
      <w:proofErr w:type="spellEnd"/>
      <w:r w:rsidR="002A2B2A" w:rsidRPr="0009011E">
        <w:rPr>
          <w:rFonts w:ascii="Times New Roman" w:hAnsi="Times New Roman" w:cs="Times New Roman"/>
        </w:rPr>
        <w:t xml:space="preserve"> </w:t>
      </w:r>
      <w:proofErr w:type="spellStart"/>
      <w:r w:rsidR="002A2B2A" w:rsidRPr="0009011E">
        <w:rPr>
          <w:rFonts w:ascii="Times New Roman" w:hAnsi="Times New Roman" w:cs="Times New Roman"/>
          <w:i/>
        </w:rPr>
        <w:t>Thorner</w:t>
      </w:r>
      <w:proofErr w:type="spellEnd"/>
      <w:r w:rsidR="002A2B2A" w:rsidRPr="0009011E">
        <w:rPr>
          <w:rFonts w:ascii="Times New Roman" w:hAnsi="Times New Roman" w:cs="Times New Roman"/>
        </w:rPr>
        <w:t>.</w:t>
      </w:r>
      <w:r w:rsidR="00B83E01" w:rsidRPr="0009011E">
        <w:rPr>
          <w:rStyle w:val="FootnoteReference"/>
          <w:rFonts w:ascii="Times New Roman" w:hAnsi="Times New Roman" w:cs="Times New Roman"/>
        </w:rPr>
        <w:t xml:space="preserve"> </w:t>
      </w:r>
    </w:p>
    <w:p w:rsidR="00036E34" w:rsidRPr="007576D0" w:rsidRDefault="00036E34" w:rsidP="002A2B2A">
      <w:pPr>
        <w:pStyle w:val="ListParagraph"/>
        <w:ind w:left="0"/>
        <w:contextualSpacing w:val="0"/>
        <w:rPr>
          <w:rFonts w:ascii="Times New Roman" w:hAnsi="Times New Roman" w:cs="Times New Roman"/>
        </w:rPr>
      </w:pPr>
      <w:r w:rsidRPr="0009011E">
        <w:rPr>
          <w:rFonts w:ascii="Times New Roman" w:hAnsi="Times New Roman" w:cs="Times New Roman"/>
          <w:b/>
          <w:i/>
        </w:rPr>
        <w:lastRenderedPageBreak/>
        <w:t xml:space="preserve">The Acquiescence-Based Strand </w:t>
      </w:r>
      <w:r w:rsidR="007576D0">
        <w:rPr>
          <w:rFonts w:ascii="Times New Roman" w:hAnsi="Times New Roman" w:cs="Times New Roman"/>
        </w:rPr>
        <w:t>(</w:t>
      </w:r>
      <w:r w:rsidR="00CE363F">
        <w:rPr>
          <w:rFonts w:ascii="Times New Roman" w:hAnsi="Times New Roman" w:cs="Times New Roman"/>
        </w:rPr>
        <w:t xml:space="preserve">see </w:t>
      </w:r>
      <w:r w:rsidR="00CE363F">
        <w:rPr>
          <w:rFonts w:ascii="Times New Roman" w:hAnsi="Times New Roman" w:cs="Times New Roman"/>
          <w:i/>
        </w:rPr>
        <w:t xml:space="preserve">The Law of Proprietary Estoppel </w:t>
      </w:r>
      <w:r w:rsidR="00CE363F">
        <w:rPr>
          <w:rFonts w:ascii="Times New Roman" w:hAnsi="Times New Roman" w:cs="Times New Roman"/>
        </w:rPr>
        <w:t xml:space="preserve">(OUP, 2014) </w:t>
      </w:r>
      <w:r w:rsidR="007576D0">
        <w:rPr>
          <w:rFonts w:ascii="Times New Roman" w:hAnsi="Times New Roman" w:cs="Times New Roman"/>
        </w:rPr>
        <w:t>2.04-2.50)</w:t>
      </w:r>
    </w:p>
    <w:p w:rsidR="00476C58" w:rsidRPr="0009011E" w:rsidRDefault="002A2B2A" w:rsidP="00AE54E1">
      <w:pPr>
        <w:pStyle w:val="ListParagraph"/>
        <w:numPr>
          <w:ilvl w:val="0"/>
          <w:numId w:val="7"/>
        </w:numPr>
        <w:ind w:left="0"/>
        <w:contextualSpacing w:val="0"/>
        <w:rPr>
          <w:rFonts w:ascii="Times New Roman" w:hAnsi="Times New Roman" w:cs="Times New Roman"/>
          <w:i/>
        </w:rPr>
      </w:pPr>
      <w:r w:rsidRPr="0009011E">
        <w:rPr>
          <w:rFonts w:ascii="Times New Roman" w:hAnsi="Times New Roman" w:cs="Times New Roman"/>
        </w:rPr>
        <w:t xml:space="preserve">In </w:t>
      </w:r>
      <w:r w:rsidRPr="0009011E">
        <w:rPr>
          <w:rFonts w:ascii="Times New Roman" w:hAnsi="Times New Roman" w:cs="Times New Roman"/>
          <w:i/>
        </w:rPr>
        <w:t xml:space="preserve">Fisher v </w:t>
      </w:r>
      <w:proofErr w:type="spellStart"/>
      <w:r w:rsidRPr="0009011E">
        <w:rPr>
          <w:rFonts w:ascii="Times New Roman" w:hAnsi="Times New Roman" w:cs="Times New Roman"/>
          <w:i/>
        </w:rPr>
        <w:t>Brooker</w:t>
      </w:r>
      <w:proofErr w:type="spellEnd"/>
      <w:r w:rsidRPr="0009011E">
        <w:rPr>
          <w:rFonts w:ascii="Times New Roman" w:hAnsi="Times New Roman" w:cs="Times New Roman"/>
        </w:rPr>
        <w:t>, Lord Neuberger stated that: “The classic example of proprietary estoppel, standing by whilst one’s neighbour builds on one’s land believing it to be his property, can be characterised as acquiescence.”</w:t>
      </w:r>
      <w:r w:rsidR="00F94897" w:rsidRPr="0009011E">
        <w:rPr>
          <w:rFonts w:ascii="Times New Roman" w:hAnsi="Times New Roman" w:cs="Times New Roman"/>
        </w:rPr>
        <w:t xml:space="preserve"> ([2009] UKHL 41, [2009] 1 WLR 1764, [62]).</w:t>
      </w:r>
      <w:r w:rsidR="004E2D3A" w:rsidRPr="0009011E">
        <w:rPr>
          <w:rFonts w:ascii="Times New Roman" w:hAnsi="Times New Roman" w:cs="Times New Roman"/>
        </w:rPr>
        <w:t xml:space="preserve"> The </w:t>
      </w:r>
      <w:r w:rsidR="00DF47D2" w:rsidRPr="0009011E">
        <w:rPr>
          <w:rFonts w:ascii="Times New Roman" w:hAnsi="Times New Roman" w:cs="Times New Roman"/>
        </w:rPr>
        <w:t>principle on which th</w:t>
      </w:r>
      <w:r w:rsidR="007576D0">
        <w:rPr>
          <w:rFonts w:ascii="Times New Roman" w:hAnsi="Times New Roman" w:cs="Times New Roman"/>
        </w:rPr>
        <w:t>is</w:t>
      </w:r>
      <w:r w:rsidR="00DF47D2" w:rsidRPr="0009011E">
        <w:rPr>
          <w:rFonts w:ascii="Times New Roman" w:hAnsi="Times New Roman" w:cs="Times New Roman"/>
        </w:rPr>
        <w:t xml:space="preserve"> </w:t>
      </w:r>
      <w:r w:rsidR="004E2D3A" w:rsidRPr="0009011E">
        <w:rPr>
          <w:rFonts w:ascii="Times New Roman" w:hAnsi="Times New Roman" w:cs="Times New Roman"/>
        </w:rPr>
        <w:t xml:space="preserve">acquiescence-based strand is </w:t>
      </w:r>
      <w:r w:rsidR="00DF47D2" w:rsidRPr="0009011E">
        <w:rPr>
          <w:rFonts w:ascii="Times New Roman" w:hAnsi="Times New Roman" w:cs="Times New Roman"/>
        </w:rPr>
        <w:t xml:space="preserve">based is </w:t>
      </w:r>
      <w:r w:rsidR="004E2D3A" w:rsidRPr="0009011E">
        <w:rPr>
          <w:rFonts w:ascii="Times New Roman" w:hAnsi="Times New Roman" w:cs="Times New Roman"/>
        </w:rPr>
        <w:t>certainly long-established: its operation can be seen</w:t>
      </w:r>
      <w:r w:rsidR="00A96C14" w:rsidRPr="0009011E">
        <w:rPr>
          <w:rFonts w:ascii="Times New Roman" w:hAnsi="Times New Roman" w:cs="Times New Roman"/>
        </w:rPr>
        <w:t xml:space="preserve">, for example, </w:t>
      </w:r>
      <w:r w:rsidR="004E2D3A" w:rsidRPr="0009011E">
        <w:rPr>
          <w:rFonts w:ascii="Times New Roman" w:hAnsi="Times New Roman" w:cs="Times New Roman"/>
        </w:rPr>
        <w:t xml:space="preserve">in </w:t>
      </w:r>
      <w:r w:rsidR="004E2D3A" w:rsidRPr="0009011E">
        <w:rPr>
          <w:rFonts w:ascii="Times New Roman" w:hAnsi="Times New Roman" w:cs="Times New Roman"/>
          <w:i/>
        </w:rPr>
        <w:t>The Earl of Oxford’s Case</w:t>
      </w:r>
      <w:r w:rsidR="00F94897" w:rsidRPr="0009011E">
        <w:rPr>
          <w:rFonts w:ascii="Times New Roman" w:hAnsi="Times New Roman" w:cs="Times New Roman"/>
          <w:i/>
        </w:rPr>
        <w:t xml:space="preserve"> </w:t>
      </w:r>
      <w:r w:rsidR="00F94897" w:rsidRPr="0009011E">
        <w:rPr>
          <w:rFonts w:ascii="Times New Roman" w:hAnsi="Times New Roman" w:cs="Times New Roman"/>
        </w:rPr>
        <w:t>(1615) Chan Rep 1, 21 ER 485</w:t>
      </w:r>
      <w:r w:rsidR="00A96C14" w:rsidRPr="0009011E">
        <w:rPr>
          <w:rFonts w:ascii="Times New Roman" w:hAnsi="Times New Roman" w:cs="Times New Roman"/>
        </w:rPr>
        <w:t>.</w:t>
      </w:r>
      <w:r w:rsidR="004E2D3A" w:rsidRPr="0009011E">
        <w:rPr>
          <w:rFonts w:ascii="Times New Roman" w:hAnsi="Times New Roman" w:cs="Times New Roman"/>
          <w:i/>
        </w:rPr>
        <w:t xml:space="preserve"> </w:t>
      </w:r>
      <w:r w:rsidR="004E2D3A" w:rsidRPr="0009011E">
        <w:rPr>
          <w:rFonts w:ascii="Times New Roman" w:hAnsi="Times New Roman" w:cs="Times New Roman"/>
        </w:rPr>
        <w:t xml:space="preserve">It applies where B adopts a particular course of conduct in reliance on a mistaken belief as to B’s current rights and A, knowing both of B’s belief and of the existence of A’s own, inconsistent right, fails to assert that right against B. A </w:t>
      </w:r>
      <w:r w:rsidR="00530F59" w:rsidRPr="0009011E">
        <w:rPr>
          <w:rFonts w:ascii="Times New Roman" w:hAnsi="Times New Roman" w:cs="Times New Roman"/>
        </w:rPr>
        <w:t xml:space="preserve">then </w:t>
      </w:r>
      <w:r w:rsidR="004E2D3A" w:rsidRPr="0009011E">
        <w:rPr>
          <w:rFonts w:ascii="Times New Roman" w:hAnsi="Times New Roman" w:cs="Times New Roman"/>
        </w:rPr>
        <w:t xml:space="preserve">comes under a liability to B if B would suffer a detriment, as a result of B’s reasonable reliance on that mistaken belief, </w:t>
      </w:r>
      <w:r w:rsidR="00530F59" w:rsidRPr="0009011E">
        <w:rPr>
          <w:rFonts w:ascii="Times New Roman" w:hAnsi="Times New Roman" w:cs="Times New Roman"/>
        </w:rPr>
        <w:t xml:space="preserve">if </w:t>
      </w:r>
      <w:r w:rsidR="004E2D3A" w:rsidRPr="0009011E">
        <w:rPr>
          <w:rFonts w:ascii="Times New Roman" w:hAnsi="Times New Roman" w:cs="Times New Roman"/>
        </w:rPr>
        <w:t xml:space="preserve">A </w:t>
      </w:r>
      <w:r w:rsidR="007576D0">
        <w:rPr>
          <w:rFonts w:ascii="Times New Roman" w:hAnsi="Times New Roman" w:cs="Times New Roman"/>
        </w:rPr>
        <w:t xml:space="preserve">were </w:t>
      </w:r>
      <w:r w:rsidR="004E2D3A" w:rsidRPr="0009011E">
        <w:rPr>
          <w:rFonts w:ascii="Times New Roman" w:hAnsi="Times New Roman" w:cs="Times New Roman"/>
        </w:rPr>
        <w:t>wholly free to enforce A’s right against B</w:t>
      </w:r>
      <w:r w:rsidR="007576D0">
        <w:rPr>
          <w:rFonts w:ascii="Times New Roman" w:hAnsi="Times New Roman" w:cs="Times New Roman"/>
        </w:rPr>
        <w:t>.</w:t>
      </w:r>
      <w:r w:rsidR="007576D0">
        <w:rPr>
          <w:rStyle w:val="FootnoteReference"/>
          <w:rFonts w:ascii="Times New Roman" w:hAnsi="Times New Roman" w:cs="Times New Roman"/>
        </w:rPr>
        <w:footnoteReference w:id="3"/>
      </w:r>
      <w:r w:rsidR="004E2D3A" w:rsidRPr="0009011E">
        <w:rPr>
          <w:rFonts w:ascii="Times New Roman" w:hAnsi="Times New Roman" w:cs="Times New Roman"/>
        </w:rPr>
        <w:t xml:space="preserve"> </w:t>
      </w:r>
    </w:p>
    <w:p w:rsidR="00F4680D" w:rsidRPr="007576D0" w:rsidRDefault="00F4680D" w:rsidP="001A7038">
      <w:pPr>
        <w:pStyle w:val="ListParagraph"/>
        <w:ind w:left="0"/>
        <w:contextualSpacing w:val="0"/>
        <w:rPr>
          <w:rFonts w:ascii="Times New Roman" w:hAnsi="Times New Roman" w:cs="Times New Roman"/>
        </w:rPr>
      </w:pPr>
      <w:r w:rsidRPr="0009011E">
        <w:rPr>
          <w:rFonts w:ascii="Times New Roman" w:hAnsi="Times New Roman" w:cs="Times New Roman"/>
          <w:b/>
          <w:i/>
        </w:rPr>
        <w:t>The Representation-Based Strand</w:t>
      </w:r>
      <w:r w:rsidR="007576D0">
        <w:rPr>
          <w:rFonts w:ascii="Times New Roman" w:hAnsi="Times New Roman" w:cs="Times New Roman"/>
          <w:b/>
          <w:i/>
        </w:rPr>
        <w:t xml:space="preserve"> </w:t>
      </w:r>
      <w:r w:rsidR="007576D0" w:rsidRPr="007576D0">
        <w:rPr>
          <w:rFonts w:ascii="Times New Roman" w:hAnsi="Times New Roman" w:cs="Times New Roman"/>
        </w:rPr>
        <w:t>(2.51-2.72)</w:t>
      </w:r>
    </w:p>
    <w:p w:rsidR="00CD2533" w:rsidRPr="0009011E" w:rsidRDefault="00FA5A5E" w:rsidP="00AE54E1">
      <w:pPr>
        <w:pStyle w:val="ListParagraph"/>
        <w:numPr>
          <w:ilvl w:val="0"/>
          <w:numId w:val="7"/>
        </w:numPr>
        <w:ind w:left="0"/>
        <w:contextualSpacing w:val="0"/>
        <w:rPr>
          <w:rFonts w:ascii="Times New Roman" w:hAnsi="Times New Roman" w:cs="Times New Roman"/>
          <w:i/>
        </w:rPr>
      </w:pPr>
      <w:r w:rsidRPr="0009011E">
        <w:rPr>
          <w:rFonts w:ascii="Times New Roman" w:hAnsi="Times New Roman" w:cs="Times New Roman"/>
        </w:rPr>
        <w:t xml:space="preserve">The </w:t>
      </w:r>
      <w:r w:rsidR="00965B78" w:rsidRPr="0009011E">
        <w:rPr>
          <w:rFonts w:ascii="Times New Roman" w:hAnsi="Times New Roman" w:cs="Times New Roman"/>
        </w:rPr>
        <w:t>principle applying here,</w:t>
      </w:r>
      <w:r w:rsidR="001B44BD" w:rsidRPr="0009011E">
        <w:rPr>
          <w:rFonts w:ascii="Times New Roman" w:hAnsi="Times New Roman" w:cs="Times New Roman"/>
        </w:rPr>
        <w:t xml:space="preserve"> like the acquiescence principle, is long-established</w:t>
      </w:r>
      <w:r w:rsidR="00E30579" w:rsidRPr="0009011E">
        <w:rPr>
          <w:rFonts w:ascii="Times New Roman" w:hAnsi="Times New Roman" w:cs="Times New Roman"/>
        </w:rPr>
        <w:t xml:space="preserve"> and </w:t>
      </w:r>
      <w:r w:rsidR="00965B78" w:rsidRPr="0009011E">
        <w:rPr>
          <w:rFonts w:ascii="Times New Roman" w:hAnsi="Times New Roman" w:cs="Times New Roman"/>
        </w:rPr>
        <w:t xml:space="preserve">also </w:t>
      </w:r>
      <w:r w:rsidR="00E30579" w:rsidRPr="0009011E">
        <w:rPr>
          <w:rFonts w:ascii="Times New Roman" w:hAnsi="Times New Roman" w:cs="Times New Roman"/>
        </w:rPr>
        <w:t>operates outside the proprietary context</w:t>
      </w:r>
      <w:r w:rsidR="001B44BD" w:rsidRPr="0009011E">
        <w:rPr>
          <w:rFonts w:ascii="Times New Roman" w:hAnsi="Times New Roman" w:cs="Times New Roman"/>
        </w:rPr>
        <w:t xml:space="preserve">. </w:t>
      </w:r>
      <w:r w:rsidR="00E30579" w:rsidRPr="0009011E">
        <w:rPr>
          <w:rFonts w:ascii="Times New Roman" w:hAnsi="Times New Roman" w:cs="Times New Roman"/>
        </w:rPr>
        <w:t>It applies where A makes a representation to B as to a matter of fact, or mixed fact and law</w:t>
      </w:r>
      <w:r w:rsidR="00A20E31" w:rsidRPr="0009011E">
        <w:rPr>
          <w:rFonts w:ascii="Times New Roman" w:hAnsi="Times New Roman" w:cs="Times New Roman"/>
        </w:rPr>
        <w:t>,</w:t>
      </w:r>
      <w:r w:rsidR="00E30579" w:rsidRPr="0009011E">
        <w:rPr>
          <w:rFonts w:ascii="Times New Roman" w:hAnsi="Times New Roman" w:cs="Times New Roman"/>
        </w:rPr>
        <w:t xml:space="preserve"> and B reasonably believes that A intends B to adopt a particular course of conduct in reliance on the truth of that representation. If B then does adopt that course of conduct and, as a result, would suffer a detriment if A were free to deny the truth of the representation, A will be precluded from doing so. </w:t>
      </w:r>
      <w:r w:rsidR="00965B78" w:rsidRPr="0009011E">
        <w:rPr>
          <w:rFonts w:ascii="Times New Roman" w:hAnsi="Times New Roman" w:cs="Times New Roman"/>
        </w:rPr>
        <w:t>In</w:t>
      </w:r>
      <w:r w:rsidR="00E30579" w:rsidRPr="0009011E">
        <w:rPr>
          <w:rFonts w:ascii="Times New Roman" w:hAnsi="Times New Roman" w:cs="Times New Roman"/>
        </w:rPr>
        <w:t xml:space="preserve"> </w:t>
      </w:r>
      <w:proofErr w:type="spellStart"/>
      <w:r w:rsidR="00E30579" w:rsidRPr="0009011E">
        <w:rPr>
          <w:rFonts w:ascii="Times New Roman" w:hAnsi="Times New Roman" w:cs="Times New Roman"/>
          <w:i/>
        </w:rPr>
        <w:t>Hopgood</w:t>
      </w:r>
      <w:proofErr w:type="spellEnd"/>
      <w:r w:rsidR="00E30579" w:rsidRPr="0009011E">
        <w:rPr>
          <w:rFonts w:ascii="Times New Roman" w:hAnsi="Times New Roman" w:cs="Times New Roman"/>
          <w:i/>
        </w:rPr>
        <w:t xml:space="preserve"> v Brown</w:t>
      </w:r>
      <w:r w:rsidR="00965B78" w:rsidRPr="0009011E">
        <w:rPr>
          <w:rFonts w:ascii="Times New Roman" w:hAnsi="Times New Roman" w:cs="Times New Roman"/>
        </w:rPr>
        <w:t xml:space="preserve"> [1955] 1 WLR 213 (CA), </w:t>
      </w:r>
      <w:r w:rsidR="00E30579" w:rsidRPr="0009011E">
        <w:rPr>
          <w:rFonts w:ascii="Times New Roman" w:hAnsi="Times New Roman" w:cs="Times New Roman"/>
        </w:rPr>
        <w:t xml:space="preserve">following discussions with A, his neighbour, as to the position of the boundary between their plots, B built a garage. It transpired that the parties were mistaken as to the true location of the boundary and B’s garage in fact encroached onto A’s land. </w:t>
      </w:r>
      <w:r w:rsidR="00CD2533" w:rsidRPr="0009011E">
        <w:rPr>
          <w:rFonts w:ascii="Times New Roman" w:hAnsi="Times New Roman" w:cs="Times New Roman"/>
        </w:rPr>
        <w:t>It was held that an estoppel by representation had arisen and that as a result A would have been precluded from asserting the true location of the boundary as against B.</w:t>
      </w:r>
      <w:r w:rsidR="00965B78" w:rsidRPr="0009011E">
        <w:rPr>
          <w:rFonts w:ascii="Times New Roman" w:hAnsi="Times New Roman" w:cs="Times New Roman"/>
        </w:rPr>
        <w:t xml:space="preserve"> I</w:t>
      </w:r>
      <w:r w:rsidR="00CD2533" w:rsidRPr="0009011E">
        <w:rPr>
          <w:rFonts w:ascii="Times New Roman" w:hAnsi="Times New Roman" w:cs="Times New Roman"/>
        </w:rPr>
        <w:t xml:space="preserve">t had been argued that no estoppel arose as A, when making the representation as to the boundary, had been unaware of its true location. Lord </w:t>
      </w:r>
      <w:proofErr w:type="spellStart"/>
      <w:r w:rsidR="00CD2533" w:rsidRPr="0009011E">
        <w:rPr>
          <w:rFonts w:ascii="Times New Roman" w:hAnsi="Times New Roman" w:cs="Times New Roman"/>
        </w:rPr>
        <w:t>Evershed</w:t>
      </w:r>
      <w:proofErr w:type="spellEnd"/>
      <w:r w:rsidR="00CD2533" w:rsidRPr="0009011E">
        <w:rPr>
          <w:rFonts w:ascii="Times New Roman" w:hAnsi="Times New Roman" w:cs="Times New Roman"/>
        </w:rPr>
        <w:t xml:space="preserve"> MR </w:t>
      </w:r>
      <w:r w:rsidR="00965B78" w:rsidRPr="0009011E">
        <w:rPr>
          <w:rFonts w:ascii="Times New Roman" w:hAnsi="Times New Roman" w:cs="Times New Roman"/>
        </w:rPr>
        <w:t xml:space="preserve">(ibid 223) </w:t>
      </w:r>
      <w:r w:rsidR="00CD2533" w:rsidRPr="0009011E">
        <w:rPr>
          <w:rFonts w:ascii="Times New Roman" w:hAnsi="Times New Roman" w:cs="Times New Roman"/>
        </w:rPr>
        <w:t xml:space="preserve">rejected that contention, stating that the requirement that A be aware of the true state of affairs between the parties is “addressed to and limited to cases where the party is alleged to be estopped by acquiescence” and so does not apply to “any case of estoppel by representation.” </w:t>
      </w:r>
    </w:p>
    <w:p w:rsidR="00A80E42" w:rsidRPr="0009011E" w:rsidRDefault="005259DD" w:rsidP="00E2634A">
      <w:pPr>
        <w:pStyle w:val="ListParagraph"/>
        <w:numPr>
          <w:ilvl w:val="0"/>
          <w:numId w:val="7"/>
        </w:numPr>
        <w:ind w:left="0"/>
        <w:contextualSpacing w:val="0"/>
        <w:rPr>
          <w:rFonts w:ascii="Times New Roman" w:hAnsi="Times New Roman" w:cs="Times New Roman"/>
        </w:rPr>
      </w:pPr>
      <w:r w:rsidRPr="0009011E">
        <w:rPr>
          <w:rFonts w:ascii="Times New Roman" w:hAnsi="Times New Roman" w:cs="Times New Roman"/>
        </w:rPr>
        <w:t xml:space="preserve">The representation-based strand has, somewhat surprisingly, been assumed to comprise the whole of proprietary estoppel. </w:t>
      </w:r>
      <w:r w:rsidR="00E2634A" w:rsidRPr="0009011E">
        <w:rPr>
          <w:rFonts w:ascii="Times New Roman" w:hAnsi="Times New Roman" w:cs="Times New Roman"/>
        </w:rPr>
        <w:t xml:space="preserve">In </w:t>
      </w:r>
      <w:proofErr w:type="spellStart"/>
      <w:r w:rsidR="00E2634A" w:rsidRPr="0009011E">
        <w:rPr>
          <w:rFonts w:ascii="Times New Roman" w:hAnsi="Times New Roman" w:cs="Times New Roman"/>
          <w:i/>
        </w:rPr>
        <w:t>Cobbe</w:t>
      </w:r>
      <w:proofErr w:type="spellEnd"/>
      <w:r w:rsidR="00E2634A" w:rsidRPr="0009011E">
        <w:rPr>
          <w:rFonts w:ascii="Times New Roman" w:hAnsi="Times New Roman" w:cs="Times New Roman"/>
          <w:i/>
        </w:rPr>
        <w:t xml:space="preserve"> </w:t>
      </w:r>
      <w:r w:rsidR="00965B78" w:rsidRPr="0009011E">
        <w:rPr>
          <w:rFonts w:ascii="Times New Roman" w:hAnsi="Times New Roman" w:cs="Times New Roman"/>
        </w:rPr>
        <w:t>(at [14])</w:t>
      </w:r>
      <w:r w:rsidR="00E2634A" w:rsidRPr="0009011E">
        <w:rPr>
          <w:rFonts w:ascii="Times New Roman" w:hAnsi="Times New Roman" w:cs="Times New Roman"/>
        </w:rPr>
        <w:t>, Lord Scott stated that:</w:t>
      </w:r>
      <w:r w:rsidR="00E2634A" w:rsidRPr="0009011E">
        <w:rPr>
          <w:rStyle w:val="FootnoteReference"/>
          <w:rFonts w:ascii="Times New Roman" w:hAnsi="Times New Roman" w:cs="Times New Roman"/>
        </w:rPr>
        <w:t xml:space="preserve"> </w:t>
      </w:r>
      <w:r w:rsidR="00965B78" w:rsidRPr="0009011E">
        <w:rPr>
          <w:rFonts w:ascii="Times New Roman" w:hAnsi="Times New Roman" w:cs="Times New Roman"/>
        </w:rPr>
        <w:t>“</w:t>
      </w:r>
      <w:r w:rsidR="00E2634A" w:rsidRPr="0009011E">
        <w:rPr>
          <w:rFonts w:ascii="Times New Roman" w:hAnsi="Times New Roman" w:cs="Times New Roman"/>
        </w:rPr>
        <w:t>An ‘estoppel’ bars the object of it from asserting some fact or facts, or, sometimes, something that is a mixture of fact and law, that stands in the way of some right claimed by the person entitled to the benefit of the estoppel. The estoppel becomes a ‘proprietary estoppel’ – a sub-species of a ‘promissory’ estoppel – if the right claimed is a proprietary right, usually a right to or over land, but, in principle, equally available in relation to chattels or choses in action. So what is the fact or facts, or the matter of mixed fact and law, that, in the present case, [A] is said to be barred from asserting?</w:t>
      </w:r>
      <w:r w:rsidR="00965B78" w:rsidRPr="0009011E">
        <w:rPr>
          <w:rFonts w:ascii="Times New Roman" w:hAnsi="Times New Roman" w:cs="Times New Roman"/>
        </w:rPr>
        <w:t>”</w:t>
      </w:r>
    </w:p>
    <w:p w:rsidR="00E2634A" w:rsidRPr="0009011E" w:rsidRDefault="0068481B" w:rsidP="00E2634A">
      <w:pPr>
        <w:pStyle w:val="ListParagraph"/>
        <w:numPr>
          <w:ilvl w:val="0"/>
          <w:numId w:val="7"/>
        </w:numPr>
        <w:ind w:left="0"/>
        <w:contextualSpacing w:val="0"/>
        <w:rPr>
          <w:rFonts w:ascii="Times New Roman" w:hAnsi="Times New Roman" w:cs="Times New Roman"/>
          <w:i/>
        </w:rPr>
      </w:pPr>
      <w:r w:rsidRPr="0009011E">
        <w:rPr>
          <w:rFonts w:ascii="Times New Roman" w:hAnsi="Times New Roman" w:cs="Times New Roman"/>
        </w:rPr>
        <w:t>As an analysis of the representation-based strand of proprietary estoppel, Lord Scott’s analysis is impeccable; yet that is precisely why it cannot explain the whole of proprietary estoppel. First, it cannot comfortably explain the operation of the acquiescence principle, which was applied in a proprietary context long before it came to be seen as part of the law of proprietary estoppel</w:t>
      </w:r>
      <w:r w:rsidR="00965B78" w:rsidRPr="0009011E">
        <w:rPr>
          <w:rFonts w:ascii="Times New Roman" w:hAnsi="Times New Roman" w:cs="Times New Roman"/>
        </w:rPr>
        <w:t xml:space="preserve">: </w:t>
      </w:r>
      <w:r w:rsidR="007576D0">
        <w:rPr>
          <w:rFonts w:ascii="Times New Roman" w:hAnsi="Times New Roman" w:cs="Times New Roman"/>
        </w:rPr>
        <w:t xml:space="preserve">to </w:t>
      </w:r>
      <w:r w:rsidR="00965B78" w:rsidRPr="0009011E">
        <w:rPr>
          <w:rFonts w:ascii="Times New Roman" w:hAnsi="Times New Roman" w:cs="Times New Roman"/>
        </w:rPr>
        <w:t>find a representation in “standing-by” cases would be to indulge in a fiction</w:t>
      </w:r>
      <w:r w:rsidRPr="0009011E">
        <w:rPr>
          <w:rFonts w:ascii="Times New Roman" w:hAnsi="Times New Roman" w:cs="Times New Roman"/>
        </w:rPr>
        <w:t xml:space="preserve">. Second, </w:t>
      </w:r>
      <w:r w:rsidR="007576D0">
        <w:rPr>
          <w:rFonts w:ascii="Times New Roman" w:hAnsi="Times New Roman" w:cs="Times New Roman"/>
        </w:rPr>
        <w:t>the</w:t>
      </w:r>
      <w:r w:rsidRPr="0009011E">
        <w:rPr>
          <w:rFonts w:ascii="Times New Roman" w:hAnsi="Times New Roman" w:cs="Times New Roman"/>
        </w:rPr>
        <w:t xml:space="preserve"> passing reference to promissory estoppel notwithstanding, his Lordship’s formulation cannot encompass the most practically significant part of the modern law of proprietary estoppel: the promise-based strand.</w:t>
      </w:r>
    </w:p>
    <w:p w:rsidR="00165EB8" w:rsidRPr="007576D0" w:rsidRDefault="00165EB8" w:rsidP="00165EB8">
      <w:pPr>
        <w:pStyle w:val="ListParagraph"/>
        <w:ind w:left="0"/>
        <w:contextualSpacing w:val="0"/>
        <w:rPr>
          <w:rFonts w:ascii="Times New Roman" w:hAnsi="Times New Roman" w:cs="Times New Roman"/>
          <w:b/>
        </w:rPr>
      </w:pPr>
      <w:r w:rsidRPr="0009011E">
        <w:rPr>
          <w:rFonts w:ascii="Times New Roman" w:hAnsi="Times New Roman" w:cs="Times New Roman"/>
          <w:b/>
          <w:i/>
        </w:rPr>
        <w:lastRenderedPageBreak/>
        <w:t xml:space="preserve">The Promise-Based Strand </w:t>
      </w:r>
      <w:r w:rsidR="007576D0" w:rsidRPr="007576D0">
        <w:rPr>
          <w:rFonts w:ascii="Times New Roman" w:hAnsi="Times New Roman" w:cs="Times New Roman"/>
        </w:rPr>
        <w:t>(2.73-2.261)</w:t>
      </w:r>
    </w:p>
    <w:p w:rsidR="00165EB8" w:rsidRPr="0009011E" w:rsidRDefault="00165EB8" w:rsidP="00165EB8">
      <w:pPr>
        <w:pStyle w:val="ListParagraph"/>
        <w:numPr>
          <w:ilvl w:val="0"/>
          <w:numId w:val="7"/>
        </w:numPr>
        <w:ind w:left="0"/>
        <w:contextualSpacing w:val="0"/>
        <w:rPr>
          <w:rFonts w:ascii="Times New Roman" w:hAnsi="Times New Roman" w:cs="Times New Roman"/>
          <w:i/>
        </w:rPr>
      </w:pPr>
      <w:r w:rsidRPr="0009011E">
        <w:rPr>
          <w:rFonts w:ascii="Times New Roman" w:hAnsi="Times New Roman" w:cs="Times New Roman"/>
        </w:rPr>
        <w:t xml:space="preserve">The House of Lords’ decision in </w:t>
      </w:r>
      <w:proofErr w:type="spellStart"/>
      <w:r w:rsidRPr="0009011E">
        <w:rPr>
          <w:rFonts w:ascii="Times New Roman" w:hAnsi="Times New Roman" w:cs="Times New Roman"/>
          <w:i/>
        </w:rPr>
        <w:t>Thorner</w:t>
      </w:r>
      <w:proofErr w:type="spellEnd"/>
      <w:r w:rsidRPr="0009011E">
        <w:rPr>
          <w:rFonts w:ascii="Times New Roman" w:hAnsi="Times New Roman" w:cs="Times New Roman"/>
          <w:i/>
        </w:rPr>
        <w:t xml:space="preserve"> </w:t>
      </w:r>
      <w:r w:rsidRPr="0009011E">
        <w:rPr>
          <w:rFonts w:ascii="Times New Roman" w:hAnsi="Times New Roman" w:cs="Times New Roman"/>
        </w:rPr>
        <w:t xml:space="preserve">confirmed the existence, and helped to explain the operation, of the promise-based strand of proprietary estoppel. </w:t>
      </w:r>
      <w:r w:rsidR="004E1339" w:rsidRPr="0009011E">
        <w:rPr>
          <w:rFonts w:ascii="Times New Roman" w:hAnsi="Times New Roman" w:cs="Times New Roman"/>
        </w:rPr>
        <w:t>It is</w:t>
      </w:r>
      <w:r w:rsidR="00A219CA" w:rsidRPr="0009011E">
        <w:rPr>
          <w:rFonts w:ascii="Times New Roman" w:hAnsi="Times New Roman" w:cs="Times New Roman"/>
        </w:rPr>
        <w:t xml:space="preserve"> submitted that it applies where A makes a promise that B has or will acquire a right in relation to A’s property and B, reasonably believing that A’s promise was seriously intended as a promise on which B could rely, adopts a particular course of conduct in reliance on A’s promise. If, as a result of that course of conduct, B would then suffer a detriment were A to be wholly free to renege on that promise, </w:t>
      </w:r>
      <w:proofErr w:type="gramStart"/>
      <w:r w:rsidR="00A219CA" w:rsidRPr="0009011E">
        <w:rPr>
          <w:rFonts w:ascii="Times New Roman" w:hAnsi="Times New Roman" w:cs="Times New Roman"/>
        </w:rPr>
        <w:t>A</w:t>
      </w:r>
      <w:proofErr w:type="gramEnd"/>
      <w:r w:rsidR="00A219CA" w:rsidRPr="0009011E">
        <w:rPr>
          <w:rFonts w:ascii="Times New Roman" w:hAnsi="Times New Roman" w:cs="Times New Roman"/>
        </w:rPr>
        <w:t xml:space="preserve"> then comes under a liability to ensure that B suffers no such detriment</w:t>
      </w:r>
      <w:r w:rsidR="004E1339" w:rsidRPr="0009011E">
        <w:rPr>
          <w:rFonts w:ascii="Times New Roman" w:hAnsi="Times New Roman" w:cs="Times New Roman"/>
        </w:rPr>
        <w:t xml:space="preserve">. </w:t>
      </w:r>
      <w:r w:rsidR="00565B09" w:rsidRPr="0009011E">
        <w:rPr>
          <w:rFonts w:ascii="Times New Roman" w:hAnsi="Times New Roman" w:cs="Times New Roman"/>
        </w:rPr>
        <w:t>To meet that liability, A may be required, for example, to transfer property to B,</w:t>
      </w:r>
      <w:r w:rsidR="00565B09" w:rsidRPr="0009011E">
        <w:rPr>
          <w:rStyle w:val="FootnoteReference"/>
          <w:rFonts w:ascii="Times New Roman" w:hAnsi="Times New Roman" w:cs="Times New Roman"/>
        </w:rPr>
        <w:footnoteReference w:id="4"/>
      </w:r>
      <w:r w:rsidR="00565B09" w:rsidRPr="0009011E">
        <w:rPr>
          <w:rFonts w:ascii="Times New Roman" w:hAnsi="Times New Roman" w:cs="Times New Roman"/>
        </w:rPr>
        <w:t xml:space="preserve"> to grant B a particular right in property,</w:t>
      </w:r>
      <w:r w:rsidR="00565B09" w:rsidRPr="0009011E">
        <w:rPr>
          <w:rStyle w:val="FootnoteReference"/>
          <w:rFonts w:ascii="Times New Roman" w:hAnsi="Times New Roman" w:cs="Times New Roman"/>
        </w:rPr>
        <w:footnoteReference w:id="5"/>
      </w:r>
      <w:r w:rsidR="00565B09" w:rsidRPr="0009011E">
        <w:rPr>
          <w:rFonts w:ascii="Times New Roman" w:hAnsi="Times New Roman" w:cs="Times New Roman"/>
        </w:rPr>
        <w:t xml:space="preserve"> to hold a right on trust for B,</w:t>
      </w:r>
      <w:r w:rsidR="00565B09" w:rsidRPr="0009011E">
        <w:rPr>
          <w:rStyle w:val="FootnoteReference"/>
          <w:rFonts w:ascii="Times New Roman" w:hAnsi="Times New Roman" w:cs="Times New Roman"/>
        </w:rPr>
        <w:footnoteReference w:id="6"/>
      </w:r>
      <w:r w:rsidR="00565B09" w:rsidRPr="0009011E">
        <w:rPr>
          <w:rFonts w:ascii="Times New Roman" w:hAnsi="Times New Roman" w:cs="Times New Roman"/>
        </w:rPr>
        <w:t xml:space="preserve"> </w:t>
      </w:r>
      <w:r w:rsidR="000F58FA" w:rsidRPr="0009011E">
        <w:rPr>
          <w:rFonts w:ascii="Times New Roman" w:hAnsi="Times New Roman" w:cs="Times New Roman"/>
        </w:rPr>
        <w:t xml:space="preserve">to </w:t>
      </w:r>
      <w:r w:rsidR="00565B09" w:rsidRPr="0009011E">
        <w:rPr>
          <w:rFonts w:ascii="Times New Roman" w:hAnsi="Times New Roman" w:cs="Times New Roman"/>
        </w:rPr>
        <w:t>allow B to make particular use of A’s property,</w:t>
      </w:r>
      <w:r w:rsidR="00565B09" w:rsidRPr="0009011E">
        <w:rPr>
          <w:rStyle w:val="FootnoteReference"/>
          <w:rFonts w:ascii="Times New Roman" w:hAnsi="Times New Roman" w:cs="Times New Roman"/>
        </w:rPr>
        <w:footnoteReference w:id="7"/>
      </w:r>
      <w:r w:rsidR="00565B09" w:rsidRPr="0009011E">
        <w:rPr>
          <w:rFonts w:ascii="Times New Roman" w:hAnsi="Times New Roman" w:cs="Times New Roman"/>
        </w:rPr>
        <w:t xml:space="preserve"> or to pay a sum of money to B.</w:t>
      </w:r>
      <w:r w:rsidR="00565B09" w:rsidRPr="0009011E">
        <w:rPr>
          <w:rStyle w:val="FootnoteReference"/>
          <w:rFonts w:ascii="Times New Roman" w:hAnsi="Times New Roman" w:cs="Times New Roman"/>
        </w:rPr>
        <w:footnoteReference w:id="8"/>
      </w:r>
    </w:p>
    <w:p w:rsidR="004E1339" w:rsidRPr="0009011E" w:rsidRDefault="004E1339" w:rsidP="008E7DF5">
      <w:pPr>
        <w:pStyle w:val="ListParagraph"/>
        <w:numPr>
          <w:ilvl w:val="0"/>
          <w:numId w:val="7"/>
        </w:numPr>
        <w:ind w:left="0"/>
        <w:contextualSpacing w:val="0"/>
        <w:rPr>
          <w:rFonts w:ascii="Times New Roman" w:hAnsi="Times New Roman" w:cs="Times New Roman"/>
          <w:b/>
          <w:i/>
        </w:rPr>
      </w:pPr>
      <w:r w:rsidRPr="0009011E">
        <w:rPr>
          <w:rFonts w:ascii="Times New Roman" w:hAnsi="Times New Roman" w:cs="Times New Roman"/>
        </w:rPr>
        <w:t>A</w:t>
      </w:r>
      <w:r w:rsidR="00CD687C" w:rsidRPr="0009011E">
        <w:rPr>
          <w:rFonts w:ascii="Times New Roman" w:hAnsi="Times New Roman" w:cs="Times New Roman"/>
        </w:rPr>
        <w:t xml:space="preserve">s explained by Hoffmann LJ in his influential but unreported judgment in </w:t>
      </w:r>
      <w:r w:rsidR="00CD687C" w:rsidRPr="0009011E">
        <w:rPr>
          <w:rFonts w:ascii="Times New Roman" w:hAnsi="Times New Roman" w:cs="Times New Roman"/>
          <w:i/>
        </w:rPr>
        <w:t>Walton v Walton</w:t>
      </w:r>
      <w:r w:rsidRPr="0009011E">
        <w:rPr>
          <w:rFonts w:ascii="Times New Roman" w:hAnsi="Times New Roman" w:cs="Times New Roman"/>
          <w:i/>
        </w:rPr>
        <w:t xml:space="preserve"> </w:t>
      </w:r>
      <w:r w:rsidRPr="0009011E">
        <w:rPr>
          <w:rFonts w:ascii="Times New Roman" w:hAnsi="Times New Roman" w:cs="Times New Roman"/>
        </w:rPr>
        <w:t>(CA, 14 April 1994)</w:t>
      </w:r>
      <w:r w:rsidR="0005571B" w:rsidRPr="0009011E">
        <w:rPr>
          <w:rFonts w:ascii="Times New Roman" w:hAnsi="Times New Roman" w:cs="Times New Roman"/>
        </w:rPr>
        <w:t xml:space="preserve"> the promise-based strand differs from </w:t>
      </w:r>
      <w:r w:rsidR="00D14031">
        <w:rPr>
          <w:rFonts w:ascii="Times New Roman" w:hAnsi="Times New Roman" w:cs="Times New Roman"/>
        </w:rPr>
        <w:t>a contractual claim</w:t>
      </w:r>
      <w:r w:rsidR="0005571B" w:rsidRPr="0009011E">
        <w:rPr>
          <w:rFonts w:ascii="Times New Roman" w:hAnsi="Times New Roman" w:cs="Times New Roman"/>
        </w:rPr>
        <w:t xml:space="preserve"> in both its requirements and its effects. The conclusion of a contract, for example, requires evidence of the parties’ intention to </w:t>
      </w:r>
      <w:r w:rsidRPr="0009011E">
        <w:rPr>
          <w:rFonts w:ascii="Times New Roman" w:hAnsi="Times New Roman" w:cs="Times New Roman"/>
        </w:rPr>
        <w:t>make a legally binding agreement</w:t>
      </w:r>
      <w:r w:rsidR="0005571B" w:rsidRPr="0009011E">
        <w:rPr>
          <w:rFonts w:ascii="Times New Roman" w:hAnsi="Times New Roman" w:cs="Times New Roman"/>
        </w:rPr>
        <w:t xml:space="preserve"> and results in the promisor’s being under an immediately binding duty which, “subject to the narrow doctrine of frustration, must be performed come what may”</w:t>
      </w:r>
      <w:r w:rsidRPr="0009011E">
        <w:rPr>
          <w:rFonts w:ascii="Times New Roman" w:hAnsi="Times New Roman" w:cs="Times New Roman"/>
        </w:rPr>
        <w:t>. No</w:t>
      </w:r>
      <w:r w:rsidR="0005571B" w:rsidRPr="0009011E">
        <w:rPr>
          <w:rFonts w:ascii="Times New Roman" w:hAnsi="Times New Roman" w:cs="Times New Roman"/>
        </w:rPr>
        <w:t xml:space="preserve"> such requirement applies to the promise-based strand of proprietary estoppel, which imposes no such immediate duty and instead “looks backwards from the moment when the promise falls due to be performed and asks whether, in the circumstances which have actually happened, it would be unconscionable for the promise not to be kept.” </w:t>
      </w:r>
    </w:p>
    <w:p w:rsidR="00841ED2" w:rsidRPr="00841ED2" w:rsidRDefault="0009011E" w:rsidP="00841ED2">
      <w:pPr>
        <w:pStyle w:val="ListParagraph"/>
        <w:numPr>
          <w:ilvl w:val="0"/>
          <w:numId w:val="7"/>
        </w:numPr>
        <w:ind w:left="0"/>
        <w:contextualSpacing w:val="0"/>
        <w:rPr>
          <w:rFonts w:ascii="Times New Roman" w:hAnsi="Times New Roman" w:cs="Times New Roman"/>
          <w:b/>
          <w:i/>
        </w:rPr>
      </w:pPr>
      <w:r w:rsidRPr="0009011E">
        <w:rPr>
          <w:rFonts w:ascii="Times New Roman" w:hAnsi="Times New Roman" w:cs="Times New Roman"/>
        </w:rPr>
        <w:t>There are a number of important</w:t>
      </w:r>
      <w:r w:rsidR="00FB494F" w:rsidRPr="0009011E">
        <w:rPr>
          <w:rFonts w:ascii="Times New Roman" w:hAnsi="Times New Roman" w:cs="Times New Roman"/>
        </w:rPr>
        <w:t xml:space="preserve"> </w:t>
      </w:r>
      <w:r w:rsidRPr="0009011E">
        <w:rPr>
          <w:rFonts w:ascii="Times New Roman" w:hAnsi="Times New Roman" w:cs="Times New Roman"/>
        </w:rPr>
        <w:t xml:space="preserve">questions as to the </w:t>
      </w:r>
      <w:r w:rsidR="00FB494F" w:rsidRPr="0009011E">
        <w:rPr>
          <w:rFonts w:ascii="Times New Roman" w:hAnsi="Times New Roman" w:cs="Times New Roman"/>
        </w:rPr>
        <w:t>practical operation of the promise-based strand.</w:t>
      </w:r>
      <w:r w:rsidR="00E22927" w:rsidRPr="0009011E">
        <w:rPr>
          <w:rFonts w:ascii="Times New Roman" w:hAnsi="Times New Roman" w:cs="Times New Roman"/>
        </w:rPr>
        <w:t xml:space="preserve"> </w:t>
      </w:r>
      <w:r w:rsidRPr="0009011E">
        <w:rPr>
          <w:rFonts w:ascii="Times New Roman" w:hAnsi="Times New Roman" w:cs="Times New Roman"/>
        </w:rPr>
        <w:t>M</w:t>
      </w:r>
      <w:r w:rsidR="00E662D1" w:rsidRPr="0009011E">
        <w:rPr>
          <w:rFonts w:ascii="Times New Roman" w:hAnsi="Times New Roman" w:cs="Times New Roman"/>
        </w:rPr>
        <w:t>uch of the uncertainty can be attributed to a failure properly to distinguish between the three distinct strands of proprietary estoppel.</w:t>
      </w:r>
      <w:r w:rsidR="009274C7" w:rsidRPr="0009011E">
        <w:rPr>
          <w:rFonts w:ascii="Times New Roman" w:hAnsi="Times New Roman" w:cs="Times New Roman"/>
        </w:rPr>
        <w:t xml:space="preserve"> For example, a failure to separate the promise and representation-based strands leads to the false assumption that, where a promise-based claim is established, it must at least be the prima facie position that A is precluded from acting contrary to the terms of A’s promise.  </w:t>
      </w:r>
      <w:r w:rsidR="00841ED2">
        <w:rPr>
          <w:rFonts w:ascii="Times New Roman" w:hAnsi="Times New Roman" w:cs="Times New Roman"/>
        </w:rPr>
        <w:t xml:space="preserve">In </w:t>
      </w:r>
      <w:proofErr w:type="spellStart"/>
      <w:r w:rsidR="00841ED2">
        <w:rPr>
          <w:rFonts w:ascii="Times New Roman" w:hAnsi="Times New Roman" w:cs="Times New Roman"/>
          <w:i/>
        </w:rPr>
        <w:t>Cobbe</w:t>
      </w:r>
      <w:proofErr w:type="spellEnd"/>
      <w:r w:rsidR="00841ED2">
        <w:rPr>
          <w:rFonts w:ascii="Times New Roman" w:hAnsi="Times New Roman" w:cs="Times New Roman"/>
        </w:rPr>
        <w:t xml:space="preserve">, a failure to isolate the promise-based strand led to the assumption that a claim could arise only if B had relied on an agreement that he believed to have been legally binding. That assumption was inconsistent with previous Court of Appeal decisions (see </w:t>
      </w:r>
      <w:proofErr w:type="spellStart"/>
      <w:r w:rsidR="00841ED2">
        <w:rPr>
          <w:rFonts w:ascii="Times New Roman" w:hAnsi="Times New Roman" w:cs="Times New Roman"/>
        </w:rPr>
        <w:t>eg</w:t>
      </w:r>
      <w:proofErr w:type="spellEnd"/>
      <w:r w:rsidR="00841ED2">
        <w:rPr>
          <w:rFonts w:ascii="Times New Roman" w:hAnsi="Times New Roman" w:cs="Times New Roman"/>
        </w:rPr>
        <w:t xml:space="preserve"> </w:t>
      </w:r>
      <w:r w:rsidR="00841ED2">
        <w:rPr>
          <w:rFonts w:ascii="Times New Roman" w:hAnsi="Times New Roman" w:cs="Times New Roman"/>
          <w:i/>
        </w:rPr>
        <w:t>Gillett v Holt</w:t>
      </w:r>
      <w:r w:rsidR="00841ED2">
        <w:rPr>
          <w:rFonts w:ascii="Times New Roman" w:hAnsi="Times New Roman" w:cs="Times New Roman"/>
        </w:rPr>
        <w:t xml:space="preserve"> [2001] Ch 210) and was rejected in </w:t>
      </w:r>
      <w:proofErr w:type="spellStart"/>
      <w:r w:rsidR="00841ED2">
        <w:rPr>
          <w:rFonts w:ascii="Times New Roman" w:hAnsi="Times New Roman" w:cs="Times New Roman"/>
          <w:i/>
        </w:rPr>
        <w:t>Thorner</w:t>
      </w:r>
      <w:proofErr w:type="spellEnd"/>
      <w:r w:rsidR="00841ED2">
        <w:rPr>
          <w:rFonts w:ascii="Times New Roman" w:hAnsi="Times New Roman" w:cs="Times New Roman"/>
        </w:rPr>
        <w:t xml:space="preserve">. </w:t>
      </w:r>
    </w:p>
    <w:p w:rsidR="00841ED2" w:rsidRPr="003D2433" w:rsidRDefault="00841ED2" w:rsidP="00841ED2">
      <w:pPr>
        <w:pStyle w:val="ListParagraph"/>
        <w:numPr>
          <w:ilvl w:val="0"/>
          <w:numId w:val="7"/>
        </w:numPr>
        <w:ind w:left="0"/>
        <w:contextualSpacing w:val="0"/>
        <w:rPr>
          <w:rFonts w:ascii="Times New Roman" w:hAnsi="Times New Roman" w:cs="Times New Roman"/>
          <w:b/>
          <w:i/>
        </w:rPr>
      </w:pPr>
      <w:r>
        <w:rPr>
          <w:rFonts w:ascii="Times New Roman" w:hAnsi="Times New Roman" w:cs="Times New Roman"/>
        </w:rPr>
        <w:t xml:space="preserve">The specific form of unconscionability addressed by the promise-based strand is A’s leaving B to suffer a detriment as a result of B’s reasonable reliance on A’s promise. A cannot avoid such a finding of unconscionability by merely showing that the parties relationship was commercial. In </w:t>
      </w:r>
      <w:r>
        <w:rPr>
          <w:rFonts w:ascii="Times New Roman" w:hAnsi="Times New Roman" w:cs="Times New Roman"/>
          <w:i/>
        </w:rPr>
        <w:t xml:space="preserve">Sutcliffe v Lloyd </w:t>
      </w:r>
      <w:r>
        <w:rPr>
          <w:rFonts w:ascii="Times New Roman" w:hAnsi="Times New Roman" w:cs="Times New Roman"/>
        </w:rPr>
        <w:t xml:space="preserve">[2007] EWCA </w:t>
      </w:r>
      <w:proofErr w:type="spellStart"/>
      <w:r>
        <w:rPr>
          <w:rFonts w:ascii="Times New Roman" w:hAnsi="Times New Roman" w:cs="Times New Roman"/>
        </w:rPr>
        <w:t>Civ</w:t>
      </w:r>
      <w:proofErr w:type="spellEnd"/>
      <w:r>
        <w:rPr>
          <w:rFonts w:ascii="Times New Roman" w:hAnsi="Times New Roman" w:cs="Times New Roman"/>
        </w:rPr>
        <w:t xml:space="preserve"> 153, for example, Wilson LJ</w:t>
      </w:r>
      <w:r w:rsidR="007576D0">
        <w:rPr>
          <w:rFonts w:ascii="Times New Roman" w:hAnsi="Times New Roman" w:cs="Times New Roman"/>
        </w:rPr>
        <w:t xml:space="preserve">, </w:t>
      </w:r>
      <w:r w:rsidR="00D14031">
        <w:rPr>
          <w:rFonts w:ascii="Times New Roman" w:hAnsi="Times New Roman" w:cs="Times New Roman"/>
        </w:rPr>
        <w:t>echoing</w:t>
      </w:r>
      <w:r w:rsidR="007576D0">
        <w:rPr>
          <w:rFonts w:ascii="Times New Roman" w:hAnsi="Times New Roman" w:cs="Times New Roman"/>
        </w:rPr>
        <w:t xml:space="preserve"> </w:t>
      </w:r>
      <w:r w:rsidR="007576D0">
        <w:rPr>
          <w:rFonts w:ascii="Times New Roman" w:hAnsi="Times New Roman" w:cs="Times New Roman"/>
          <w:i/>
        </w:rPr>
        <w:t>Walton v Walton</w:t>
      </w:r>
      <w:r w:rsidR="007576D0">
        <w:rPr>
          <w:rFonts w:ascii="Times New Roman" w:hAnsi="Times New Roman" w:cs="Times New Roman"/>
        </w:rPr>
        <w:t>,</w:t>
      </w:r>
      <w:r>
        <w:rPr>
          <w:rFonts w:ascii="Times New Roman" w:hAnsi="Times New Roman" w:cs="Times New Roman"/>
        </w:rPr>
        <w:t xml:space="preserve"> specifically rejected the contention of A (an entrepreneur) that the proprietary estoppel claim of B (a builder and property developer) should fail on the grounds that A had not suggested that A’s promise was legally binding. The contention was “misconceived in law” as, given that proprietary estoppel does not in any case operate so as to make A’s promise immediately binding, there was no need for A to “</w:t>
      </w:r>
      <w:proofErr w:type="spellStart"/>
      <w:r>
        <w:rPr>
          <w:rFonts w:ascii="Times New Roman" w:hAnsi="Times New Roman" w:cs="Times New Roman"/>
        </w:rPr>
        <w:t>mis</w:t>
      </w:r>
      <w:proofErr w:type="spellEnd"/>
      <w:r>
        <w:rPr>
          <w:rFonts w:ascii="Times New Roman" w:hAnsi="Times New Roman" w:cs="Times New Roman"/>
        </w:rPr>
        <w:t>-state the law in this regard” (ibid [38]).</w:t>
      </w:r>
    </w:p>
    <w:p w:rsidR="0009011E" w:rsidRDefault="0009011E" w:rsidP="0009011E">
      <w:pPr>
        <w:rPr>
          <w:rFonts w:ascii="Times New Roman" w:hAnsi="Times New Roman" w:cs="Times New Roman"/>
          <w:b/>
        </w:rPr>
      </w:pPr>
      <w:r w:rsidRPr="0009011E">
        <w:rPr>
          <w:rFonts w:ascii="Times New Roman" w:hAnsi="Times New Roman" w:cs="Times New Roman"/>
          <w:b/>
        </w:rPr>
        <w:lastRenderedPageBreak/>
        <w:t>Applying the Pr</w:t>
      </w:r>
      <w:r w:rsidR="0075252C">
        <w:rPr>
          <w:rFonts w:ascii="Times New Roman" w:hAnsi="Times New Roman" w:cs="Times New Roman"/>
          <w:b/>
        </w:rPr>
        <w:t>omise-Based Strand</w:t>
      </w:r>
      <w:r w:rsidRPr="0009011E">
        <w:rPr>
          <w:rFonts w:ascii="Times New Roman" w:hAnsi="Times New Roman" w:cs="Times New Roman"/>
          <w:b/>
        </w:rPr>
        <w:t xml:space="preserve"> in the Commercial Context</w:t>
      </w:r>
    </w:p>
    <w:p w:rsidR="00841ED2" w:rsidRPr="00875D98" w:rsidRDefault="00841ED2" w:rsidP="0009011E">
      <w:pPr>
        <w:rPr>
          <w:rFonts w:ascii="Times New Roman" w:hAnsi="Times New Roman" w:cs="Times New Roman"/>
        </w:rPr>
      </w:pPr>
      <w:r>
        <w:rPr>
          <w:rFonts w:ascii="Times New Roman" w:hAnsi="Times New Roman" w:cs="Times New Roman"/>
          <w:b/>
          <w:i/>
        </w:rPr>
        <w:t>The Test for Liability</w:t>
      </w:r>
      <w:r w:rsidR="00875D98">
        <w:rPr>
          <w:rFonts w:ascii="Times New Roman" w:hAnsi="Times New Roman" w:cs="Times New Roman"/>
          <w:b/>
          <w:i/>
        </w:rPr>
        <w:t xml:space="preserve"> </w:t>
      </w:r>
      <w:r w:rsidR="00875D98" w:rsidRPr="00875D98">
        <w:rPr>
          <w:rFonts w:ascii="Times New Roman" w:hAnsi="Times New Roman" w:cs="Times New Roman"/>
        </w:rPr>
        <w:t>(</w:t>
      </w:r>
      <w:r w:rsidR="00875D98">
        <w:rPr>
          <w:rFonts w:ascii="Times New Roman" w:hAnsi="Times New Roman" w:cs="Times New Roman"/>
        </w:rPr>
        <w:t xml:space="preserve">see </w:t>
      </w:r>
      <w:r w:rsidR="00875D98" w:rsidRPr="00875D98">
        <w:rPr>
          <w:rFonts w:ascii="Times New Roman" w:hAnsi="Times New Roman" w:cs="Times New Roman"/>
        </w:rPr>
        <w:t xml:space="preserve">2.147-2.187, </w:t>
      </w:r>
      <w:proofErr w:type="spellStart"/>
      <w:r w:rsidR="00875D98" w:rsidRPr="00875D98">
        <w:rPr>
          <w:rFonts w:ascii="Times New Roman" w:hAnsi="Times New Roman" w:cs="Times New Roman"/>
        </w:rPr>
        <w:t>esp</w:t>
      </w:r>
      <w:proofErr w:type="spellEnd"/>
      <w:r w:rsidR="00875D98" w:rsidRPr="00875D98">
        <w:rPr>
          <w:rFonts w:ascii="Times New Roman" w:hAnsi="Times New Roman" w:cs="Times New Roman"/>
        </w:rPr>
        <w:t xml:space="preserve"> 2.173-2.187)</w:t>
      </w:r>
    </w:p>
    <w:p w:rsidR="0009011E" w:rsidRPr="00841ED2" w:rsidRDefault="0009011E" w:rsidP="008E7DF5">
      <w:pPr>
        <w:pStyle w:val="ListParagraph"/>
        <w:numPr>
          <w:ilvl w:val="0"/>
          <w:numId w:val="7"/>
        </w:numPr>
        <w:ind w:left="0"/>
        <w:contextualSpacing w:val="0"/>
        <w:rPr>
          <w:rFonts w:ascii="Times New Roman" w:hAnsi="Times New Roman" w:cs="Times New Roman"/>
          <w:b/>
          <w:i/>
        </w:rPr>
      </w:pPr>
      <w:r w:rsidRPr="00841ED2">
        <w:rPr>
          <w:rFonts w:ascii="Times New Roman" w:hAnsi="Times New Roman" w:cs="Times New Roman"/>
          <w:b/>
          <w:i/>
        </w:rPr>
        <w:t xml:space="preserve"> </w:t>
      </w:r>
      <w:r w:rsidR="00841ED2" w:rsidRPr="00841ED2">
        <w:rPr>
          <w:rFonts w:ascii="Times New Roman" w:hAnsi="Times New Roman" w:cs="Times New Roman"/>
        </w:rPr>
        <w:t xml:space="preserve">In </w:t>
      </w:r>
      <w:proofErr w:type="spellStart"/>
      <w:r w:rsidR="00841ED2" w:rsidRPr="00841ED2">
        <w:rPr>
          <w:rFonts w:ascii="Times New Roman" w:hAnsi="Times New Roman" w:cs="Times New Roman"/>
          <w:i/>
        </w:rPr>
        <w:t>Crossco</w:t>
      </w:r>
      <w:proofErr w:type="spellEnd"/>
      <w:r w:rsidR="00841ED2" w:rsidRPr="00841ED2">
        <w:rPr>
          <w:rFonts w:ascii="Times New Roman" w:hAnsi="Times New Roman" w:cs="Times New Roman"/>
          <w:i/>
        </w:rPr>
        <w:t xml:space="preserve"> No 4 Unlimited v </w:t>
      </w:r>
      <w:proofErr w:type="spellStart"/>
      <w:r w:rsidR="00841ED2" w:rsidRPr="00841ED2">
        <w:rPr>
          <w:rFonts w:ascii="Times New Roman" w:hAnsi="Times New Roman" w:cs="Times New Roman"/>
          <w:i/>
        </w:rPr>
        <w:t>Jolan</w:t>
      </w:r>
      <w:proofErr w:type="spellEnd"/>
      <w:r w:rsidR="00841ED2" w:rsidRPr="00841ED2">
        <w:rPr>
          <w:rFonts w:ascii="Times New Roman" w:hAnsi="Times New Roman" w:cs="Times New Roman"/>
          <w:i/>
        </w:rPr>
        <w:t xml:space="preserve"> Ltd </w:t>
      </w:r>
      <w:r w:rsidR="00841ED2" w:rsidRPr="00841ED2">
        <w:rPr>
          <w:rFonts w:ascii="Times New Roman" w:hAnsi="Times New Roman" w:cs="Times New Roman"/>
        </w:rPr>
        <w:t xml:space="preserve">[2011] EWCA </w:t>
      </w:r>
      <w:proofErr w:type="spellStart"/>
      <w:r w:rsidR="00841ED2" w:rsidRPr="00841ED2">
        <w:rPr>
          <w:rFonts w:ascii="Times New Roman" w:hAnsi="Times New Roman" w:cs="Times New Roman"/>
        </w:rPr>
        <w:t>Civ</w:t>
      </w:r>
      <w:proofErr w:type="spellEnd"/>
      <w:r w:rsidR="00841ED2" w:rsidRPr="00841ED2">
        <w:rPr>
          <w:rFonts w:ascii="Times New Roman" w:hAnsi="Times New Roman" w:cs="Times New Roman"/>
        </w:rPr>
        <w:t xml:space="preserve"> 1619, [2012] 2 All ER 754, [133] Arden LJ asserted that: “For the law in general to provide scope for claims in respect of unsuccessful negotiations that do not result in legally enforceable contracts would, in my judgment, be likely to inhibit the efficient pursuit of commercial negotiations, which is a necessary part of proper entrepreneurial activity”. Certainly, even in the absence of a “subject to contract” clause, the mere fact of negotiations does not, by itself, mean that the required promise has been made.</w:t>
      </w:r>
      <w:r w:rsidR="00841ED2" w:rsidRPr="00841ED2">
        <w:rPr>
          <w:rFonts w:ascii="Times New Roman" w:hAnsi="Times New Roman" w:cs="Times New Roman"/>
          <w:i/>
        </w:rPr>
        <w:t xml:space="preserve"> </w:t>
      </w:r>
      <w:r w:rsidRPr="00841ED2">
        <w:rPr>
          <w:rFonts w:ascii="Times New Roman" w:hAnsi="Times New Roman" w:cs="Times New Roman"/>
        </w:rPr>
        <w:t xml:space="preserve">In </w:t>
      </w:r>
      <w:proofErr w:type="spellStart"/>
      <w:r w:rsidR="00841ED2" w:rsidRPr="00841ED2">
        <w:rPr>
          <w:rFonts w:ascii="Times New Roman" w:hAnsi="Times New Roman" w:cs="Times New Roman"/>
          <w:i/>
        </w:rPr>
        <w:t>Crossco</w:t>
      </w:r>
      <w:proofErr w:type="spellEnd"/>
      <w:r w:rsidR="00841ED2" w:rsidRPr="00841ED2">
        <w:rPr>
          <w:rFonts w:ascii="Times New Roman" w:hAnsi="Times New Roman" w:cs="Times New Roman"/>
        </w:rPr>
        <w:t xml:space="preserve">, as in </w:t>
      </w:r>
      <w:proofErr w:type="spellStart"/>
      <w:r w:rsidR="00841ED2" w:rsidRPr="00841ED2">
        <w:rPr>
          <w:rFonts w:ascii="Times New Roman" w:hAnsi="Times New Roman" w:cs="Times New Roman"/>
          <w:i/>
        </w:rPr>
        <w:t>Cobbe</w:t>
      </w:r>
      <w:proofErr w:type="spellEnd"/>
      <w:r w:rsidR="00841ED2" w:rsidRPr="00841ED2">
        <w:rPr>
          <w:rFonts w:ascii="Times New Roman" w:hAnsi="Times New Roman" w:cs="Times New Roman"/>
        </w:rPr>
        <w:t>,</w:t>
      </w:r>
      <w:r w:rsidR="00841ED2" w:rsidRPr="00841ED2">
        <w:rPr>
          <w:rFonts w:ascii="Times New Roman" w:hAnsi="Times New Roman" w:cs="Times New Roman"/>
          <w:i/>
        </w:rPr>
        <w:t xml:space="preserve"> </w:t>
      </w:r>
      <w:r w:rsidR="0075252C" w:rsidRPr="00841ED2">
        <w:rPr>
          <w:rFonts w:ascii="Times New Roman" w:hAnsi="Times New Roman" w:cs="Times New Roman"/>
        </w:rPr>
        <w:t xml:space="preserve">the failure of the proprietary estoppel claim </w:t>
      </w:r>
      <w:r w:rsidR="00841ED2">
        <w:rPr>
          <w:rFonts w:ascii="Times New Roman" w:hAnsi="Times New Roman" w:cs="Times New Roman"/>
        </w:rPr>
        <w:t xml:space="preserve">can be </w:t>
      </w:r>
      <w:r w:rsidR="005A25B3">
        <w:rPr>
          <w:rFonts w:ascii="Times New Roman" w:hAnsi="Times New Roman" w:cs="Times New Roman"/>
        </w:rPr>
        <w:t>explained on the basis that</w:t>
      </w:r>
      <w:r w:rsidR="0075252C" w:rsidRPr="00841ED2">
        <w:rPr>
          <w:rFonts w:ascii="Times New Roman" w:hAnsi="Times New Roman" w:cs="Times New Roman"/>
        </w:rPr>
        <w:t xml:space="preserve"> B could not reasonably </w:t>
      </w:r>
      <w:r w:rsidR="00D14031">
        <w:rPr>
          <w:rFonts w:ascii="Times New Roman" w:hAnsi="Times New Roman" w:cs="Times New Roman"/>
        </w:rPr>
        <w:t xml:space="preserve">have </w:t>
      </w:r>
      <w:r w:rsidR="0075252C" w:rsidRPr="00841ED2">
        <w:rPr>
          <w:rFonts w:ascii="Times New Roman" w:hAnsi="Times New Roman" w:cs="Times New Roman"/>
        </w:rPr>
        <w:t>regard</w:t>
      </w:r>
      <w:r w:rsidR="00D14031">
        <w:rPr>
          <w:rFonts w:ascii="Times New Roman" w:hAnsi="Times New Roman" w:cs="Times New Roman"/>
        </w:rPr>
        <w:t>ed</w:t>
      </w:r>
      <w:r w:rsidR="0075252C" w:rsidRPr="00841ED2">
        <w:rPr>
          <w:rFonts w:ascii="Times New Roman" w:hAnsi="Times New Roman" w:cs="Times New Roman"/>
        </w:rPr>
        <w:t xml:space="preserve"> A as having made any promise seriously intended as capable of being relied upon by A. </w:t>
      </w:r>
      <w:r w:rsidR="00CA1533" w:rsidRPr="00841ED2">
        <w:rPr>
          <w:rFonts w:ascii="Times New Roman" w:hAnsi="Times New Roman" w:cs="Times New Roman"/>
        </w:rPr>
        <w:t>If, however, the parties have made a sufficiently certain agreement in principle and A has made a promise to comply with that agreement a claim</w:t>
      </w:r>
      <w:r w:rsidR="007576D0">
        <w:rPr>
          <w:rFonts w:ascii="Times New Roman" w:hAnsi="Times New Roman" w:cs="Times New Roman"/>
        </w:rPr>
        <w:t xml:space="preserve"> should be possible (see [2005] </w:t>
      </w:r>
      <w:proofErr w:type="spellStart"/>
      <w:r w:rsidR="007576D0">
        <w:rPr>
          <w:rFonts w:ascii="Times New Roman" w:hAnsi="Times New Roman" w:cs="Times New Roman"/>
        </w:rPr>
        <w:t>Conv</w:t>
      </w:r>
      <w:proofErr w:type="spellEnd"/>
      <w:r w:rsidR="007576D0">
        <w:rPr>
          <w:rFonts w:ascii="Times New Roman" w:hAnsi="Times New Roman" w:cs="Times New Roman"/>
        </w:rPr>
        <w:t xml:space="preserve"> 501)</w:t>
      </w:r>
      <w:r w:rsidR="00CA1533" w:rsidRPr="00841ED2">
        <w:rPr>
          <w:rFonts w:ascii="Times New Roman" w:hAnsi="Times New Roman" w:cs="Times New Roman"/>
        </w:rPr>
        <w:t xml:space="preserve">. In </w:t>
      </w:r>
      <w:r w:rsidR="00CA1533" w:rsidRPr="00841ED2">
        <w:rPr>
          <w:rFonts w:ascii="Times New Roman" w:hAnsi="Times New Roman" w:cs="Times New Roman"/>
          <w:i/>
        </w:rPr>
        <w:t xml:space="preserve">Lloyd v </w:t>
      </w:r>
      <w:proofErr w:type="spellStart"/>
      <w:r w:rsidR="00CA1533" w:rsidRPr="00841ED2">
        <w:rPr>
          <w:rFonts w:ascii="Times New Roman" w:hAnsi="Times New Roman" w:cs="Times New Roman"/>
          <w:i/>
        </w:rPr>
        <w:t>Dugdale</w:t>
      </w:r>
      <w:proofErr w:type="spellEnd"/>
      <w:r w:rsidR="00CA1533" w:rsidRPr="00841ED2">
        <w:rPr>
          <w:rFonts w:ascii="Times New Roman" w:hAnsi="Times New Roman" w:cs="Times New Roman"/>
        </w:rPr>
        <w:t xml:space="preserve"> </w:t>
      </w:r>
      <w:r w:rsidR="00EC62BF">
        <w:rPr>
          <w:rFonts w:ascii="Times New Roman" w:hAnsi="Times New Roman" w:cs="Times New Roman"/>
        </w:rPr>
        <w:t xml:space="preserve">(above n 1) </w:t>
      </w:r>
      <w:r w:rsidR="00CA1533" w:rsidRPr="00841ED2">
        <w:rPr>
          <w:rFonts w:ascii="Times New Roman" w:hAnsi="Times New Roman" w:cs="Times New Roman"/>
        </w:rPr>
        <w:t>the Court of Appeal recognised that such a claim had arisen where, after B had specifically voiced concerns about beginning work on A’s premises before a contract was signed, A had reassured B that A was a “man of my word” and that there was “no need to worry”.</w:t>
      </w:r>
    </w:p>
    <w:p w:rsidR="00CA1533" w:rsidRPr="00875D98" w:rsidRDefault="00841ED2" w:rsidP="008E7DF5">
      <w:pPr>
        <w:pStyle w:val="ListParagraph"/>
        <w:numPr>
          <w:ilvl w:val="0"/>
          <w:numId w:val="7"/>
        </w:numPr>
        <w:ind w:left="0"/>
        <w:contextualSpacing w:val="0"/>
        <w:rPr>
          <w:rFonts w:ascii="Times New Roman" w:hAnsi="Times New Roman" w:cs="Times New Roman"/>
          <w:b/>
          <w:i/>
        </w:rPr>
      </w:pPr>
      <w:r>
        <w:rPr>
          <w:rFonts w:ascii="Times New Roman" w:hAnsi="Times New Roman" w:cs="Times New Roman"/>
        </w:rPr>
        <w:t>The facts of</w:t>
      </w:r>
      <w:r w:rsidR="00AA7D84">
        <w:rPr>
          <w:rFonts w:ascii="Times New Roman" w:hAnsi="Times New Roman" w:cs="Times New Roman"/>
          <w:i/>
        </w:rPr>
        <w:t xml:space="preserve"> </w:t>
      </w:r>
      <w:r w:rsidR="00CA1533">
        <w:rPr>
          <w:rFonts w:ascii="Times New Roman" w:hAnsi="Times New Roman" w:cs="Times New Roman"/>
          <w:i/>
        </w:rPr>
        <w:t xml:space="preserve">Sutcliffe </w:t>
      </w:r>
      <w:r w:rsidR="00EC62BF">
        <w:rPr>
          <w:rFonts w:ascii="Times New Roman" w:hAnsi="Times New Roman" w:cs="Times New Roman"/>
        </w:rPr>
        <w:t xml:space="preserve">(n 1) </w:t>
      </w:r>
      <w:r>
        <w:rPr>
          <w:rFonts w:ascii="Times New Roman" w:hAnsi="Times New Roman" w:cs="Times New Roman"/>
        </w:rPr>
        <w:t xml:space="preserve">provide an example of how it can be in the interests of </w:t>
      </w:r>
      <w:r>
        <w:rPr>
          <w:rFonts w:ascii="Times New Roman" w:hAnsi="Times New Roman" w:cs="Times New Roman"/>
          <w:i/>
        </w:rPr>
        <w:t xml:space="preserve">each </w:t>
      </w:r>
      <w:r>
        <w:rPr>
          <w:rFonts w:ascii="Times New Roman" w:hAnsi="Times New Roman" w:cs="Times New Roman"/>
        </w:rPr>
        <w:t xml:space="preserve">party for B to undertake certain pre-contractual work. In that case, </w:t>
      </w:r>
      <w:r w:rsidR="00875D98">
        <w:rPr>
          <w:rFonts w:ascii="Times New Roman" w:hAnsi="Times New Roman" w:cs="Times New Roman"/>
        </w:rPr>
        <w:t xml:space="preserve">B’s work </w:t>
      </w:r>
      <w:r w:rsidR="00CE363F">
        <w:rPr>
          <w:rFonts w:ascii="Times New Roman" w:hAnsi="Times New Roman" w:cs="Times New Roman"/>
        </w:rPr>
        <w:t>led to the production of a</w:t>
      </w:r>
      <w:r w:rsidR="00875D98">
        <w:rPr>
          <w:rFonts w:ascii="Times New Roman" w:hAnsi="Times New Roman" w:cs="Times New Roman"/>
        </w:rPr>
        <w:t xml:space="preserve"> development plan described by the first instance judge as “amazing”</w:t>
      </w:r>
      <w:r w:rsidR="00CE363F">
        <w:rPr>
          <w:rFonts w:ascii="Times New Roman" w:hAnsi="Times New Roman" w:cs="Times New Roman"/>
        </w:rPr>
        <w:t>,</w:t>
      </w:r>
      <w:r w:rsidR="00875D98">
        <w:rPr>
          <w:rFonts w:ascii="Times New Roman" w:hAnsi="Times New Roman" w:cs="Times New Roman"/>
        </w:rPr>
        <w:t xml:space="preserve"> increas</w:t>
      </w:r>
      <w:r w:rsidR="00CE363F">
        <w:rPr>
          <w:rFonts w:ascii="Times New Roman" w:hAnsi="Times New Roman" w:cs="Times New Roman"/>
        </w:rPr>
        <w:t>ing</w:t>
      </w:r>
      <w:r w:rsidR="00875D98">
        <w:rPr>
          <w:rFonts w:ascii="Times New Roman" w:hAnsi="Times New Roman" w:cs="Times New Roman"/>
        </w:rPr>
        <w:t xml:space="preserve"> the potential profits of the development. In practice, such work may need to be done before a contract can be concluded, and the application of proprietary estoppel, far from having an inefficient chilling effect, may in fact promote commercial efficiency, by increasing the chance that B will undertake valuable pre-contractual work.</w:t>
      </w:r>
    </w:p>
    <w:p w:rsidR="00875D98" w:rsidRPr="00875D98" w:rsidRDefault="00875D98" w:rsidP="00875D98">
      <w:pPr>
        <w:pStyle w:val="ListParagraph"/>
        <w:ind w:left="0"/>
        <w:contextualSpacing w:val="0"/>
        <w:rPr>
          <w:rFonts w:ascii="Times New Roman" w:hAnsi="Times New Roman" w:cs="Times New Roman"/>
        </w:rPr>
      </w:pPr>
      <w:r>
        <w:rPr>
          <w:rFonts w:ascii="Times New Roman" w:hAnsi="Times New Roman" w:cs="Times New Roman"/>
          <w:b/>
          <w:i/>
        </w:rPr>
        <w:t xml:space="preserve">Section 2 of the Law of Property (Miscellaneous Provisions) Act 1989 </w:t>
      </w:r>
      <w:r>
        <w:rPr>
          <w:rFonts w:ascii="Times New Roman" w:hAnsi="Times New Roman" w:cs="Times New Roman"/>
        </w:rPr>
        <w:t xml:space="preserve">(6.38-6.119, </w:t>
      </w:r>
      <w:proofErr w:type="spellStart"/>
      <w:r>
        <w:rPr>
          <w:rFonts w:ascii="Times New Roman" w:hAnsi="Times New Roman" w:cs="Times New Roman"/>
        </w:rPr>
        <w:t>esp</w:t>
      </w:r>
      <w:proofErr w:type="spellEnd"/>
      <w:r>
        <w:rPr>
          <w:rFonts w:ascii="Times New Roman" w:hAnsi="Times New Roman" w:cs="Times New Roman"/>
        </w:rPr>
        <w:t xml:space="preserve"> 6.98-6.104)</w:t>
      </w:r>
    </w:p>
    <w:p w:rsidR="00AA7D84" w:rsidRPr="003C41EA" w:rsidRDefault="00875D98" w:rsidP="008E7DF5">
      <w:pPr>
        <w:pStyle w:val="ListParagraph"/>
        <w:numPr>
          <w:ilvl w:val="0"/>
          <w:numId w:val="7"/>
        </w:numPr>
        <w:ind w:left="0"/>
        <w:contextualSpacing w:val="0"/>
        <w:rPr>
          <w:rFonts w:ascii="Times New Roman" w:hAnsi="Times New Roman" w:cs="Times New Roman"/>
          <w:b/>
          <w:i/>
        </w:rPr>
      </w:pPr>
      <w:r>
        <w:rPr>
          <w:rFonts w:ascii="Times New Roman" w:hAnsi="Times New Roman" w:cs="Times New Roman"/>
        </w:rPr>
        <w:t xml:space="preserve">This formality provision, it is submitted, should have no impact on a promise-based proprietary estoppel claim, as it applies only to </w:t>
      </w:r>
      <w:r>
        <w:rPr>
          <w:rFonts w:ascii="Times New Roman" w:hAnsi="Times New Roman" w:cs="Times New Roman"/>
          <w:i/>
        </w:rPr>
        <w:t>contracts</w:t>
      </w:r>
      <w:r>
        <w:rPr>
          <w:rFonts w:ascii="Times New Roman" w:hAnsi="Times New Roman" w:cs="Times New Roman"/>
        </w:rPr>
        <w:t xml:space="preserve"> (compare Lord Scott in </w:t>
      </w:r>
      <w:proofErr w:type="spellStart"/>
      <w:r>
        <w:rPr>
          <w:rFonts w:ascii="Times New Roman" w:hAnsi="Times New Roman" w:cs="Times New Roman"/>
          <w:i/>
        </w:rPr>
        <w:t>Cobbe</w:t>
      </w:r>
      <w:proofErr w:type="spellEnd"/>
      <w:r>
        <w:rPr>
          <w:rFonts w:ascii="Times New Roman" w:hAnsi="Times New Roman" w:cs="Times New Roman"/>
          <w:i/>
        </w:rPr>
        <w:t xml:space="preserve"> </w:t>
      </w:r>
      <w:r>
        <w:rPr>
          <w:rFonts w:ascii="Times New Roman" w:hAnsi="Times New Roman" w:cs="Times New Roman"/>
        </w:rPr>
        <w:t xml:space="preserve">at [29], stating that s 2 “declares to be void any agreement”: see further [2005] </w:t>
      </w:r>
      <w:proofErr w:type="spellStart"/>
      <w:r>
        <w:rPr>
          <w:rFonts w:ascii="Times New Roman" w:hAnsi="Times New Roman" w:cs="Times New Roman"/>
        </w:rPr>
        <w:t>Conv</w:t>
      </w:r>
      <w:proofErr w:type="spellEnd"/>
      <w:r>
        <w:rPr>
          <w:rFonts w:ascii="Times New Roman" w:hAnsi="Times New Roman" w:cs="Times New Roman"/>
        </w:rPr>
        <w:t xml:space="preserve"> 501 and [2009] CLJ 537, 546). </w:t>
      </w:r>
      <w:proofErr w:type="spellStart"/>
      <w:r w:rsidR="003C41EA">
        <w:rPr>
          <w:rFonts w:ascii="Times New Roman" w:hAnsi="Times New Roman" w:cs="Times New Roman"/>
          <w:i/>
        </w:rPr>
        <w:t>Kinane</w:t>
      </w:r>
      <w:proofErr w:type="spellEnd"/>
      <w:r w:rsidR="003C41EA">
        <w:rPr>
          <w:rFonts w:ascii="Times New Roman" w:hAnsi="Times New Roman" w:cs="Times New Roman"/>
          <w:i/>
        </w:rPr>
        <w:t xml:space="preserve"> </w:t>
      </w:r>
      <w:r w:rsidR="003C41EA">
        <w:rPr>
          <w:rFonts w:ascii="Times New Roman" w:hAnsi="Times New Roman" w:cs="Times New Roman"/>
        </w:rPr>
        <w:t xml:space="preserve">and </w:t>
      </w:r>
      <w:r w:rsidR="003C41EA">
        <w:rPr>
          <w:rFonts w:ascii="Times New Roman" w:hAnsi="Times New Roman" w:cs="Times New Roman"/>
          <w:i/>
        </w:rPr>
        <w:t xml:space="preserve">Herbert </w:t>
      </w:r>
      <w:r w:rsidR="003C41EA">
        <w:rPr>
          <w:rFonts w:ascii="Times New Roman" w:hAnsi="Times New Roman" w:cs="Times New Roman"/>
        </w:rPr>
        <w:t>are typical of cases in which a court has felt compelled to find a constructive trust, in order to bring s 2(5) into play. It is, however, very difficult to find a trust on the facts of such cases: in the former, A’s duty was to grant B security; in the latter, it was (inter alia) to grant B a lease.</w:t>
      </w:r>
    </w:p>
    <w:p w:rsidR="003C41EA" w:rsidRPr="003C41EA" w:rsidRDefault="003C41EA" w:rsidP="003C41EA">
      <w:pPr>
        <w:pStyle w:val="ListParagraph"/>
        <w:ind w:left="0"/>
        <w:contextualSpacing w:val="0"/>
        <w:rPr>
          <w:rFonts w:ascii="Times New Roman" w:hAnsi="Times New Roman" w:cs="Times New Roman"/>
        </w:rPr>
      </w:pPr>
      <w:r>
        <w:rPr>
          <w:rFonts w:ascii="Times New Roman" w:hAnsi="Times New Roman" w:cs="Times New Roman"/>
          <w:b/>
          <w:i/>
        </w:rPr>
        <w:t xml:space="preserve">The Extent of B’s Equity </w:t>
      </w:r>
      <w:r>
        <w:rPr>
          <w:rFonts w:ascii="Times New Roman" w:hAnsi="Times New Roman" w:cs="Times New Roman"/>
        </w:rPr>
        <w:t>(7.35-7.180)</w:t>
      </w:r>
    </w:p>
    <w:p w:rsidR="003C41EA" w:rsidRPr="003C41EA" w:rsidRDefault="003C41EA" w:rsidP="008E7DF5">
      <w:pPr>
        <w:pStyle w:val="ListParagraph"/>
        <w:numPr>
          <w:ilvl w:val="0"/>
          <w:numId w:val="7"/>
        </w:numPr>
        <w:ind w:left="0"/>
        <w:contextualSpacing w:val="0"/>
        <w:rPr>
          <w:rFonts w:ascii="Times New Roman" w:hAnsi="Times New Roman" w:cs="Times New Roman"/>
          <w:b/>
          <w:i/>
        </w:rPr>
      </w:pPr>
      <w:r>
        <w:rPr>
          <w:rFonts w:ascii="Times New Roman" w:hAnsi="Times New Roman" w:cs="Times New Roman"/>
        </w:rPr>
        <w:t xml:space="preserve">The law remains uncertain as to the extent of the equity arising on a successful proprietary estoppel claim. A particular debate concerns the meaning and role of proportionality: </w:t>
      </w:r>
      <w:proofErr w:type="spellStart"/>
      <w:r>
        <w:rPr>
          <w:rFonts w:ascii="Times New Roman" w:hAnsi="Times New Roman" w:cs="Times New Roman"/>
        </w:rPr>
        <w:t>eg</w:t>
      </w:r>
      <w:proofErr w:type="spellEnd"/>
      <w:r>
        <w:rPr>
          <w:rFonts w:ascii="Times New Roman" w:hAnsi="Times New Roman" w:cs="Times New Roman"/>
        </w:rPr>
        <w:t xml:space="preserve"> is it a positive requirement that the extent of A’s liability be proportionate to the extent of B’s potential detriment (as suggested by </w:t>
      </w:r>
      <w:proofErr w:type="spellStart"/>
      <w:r>
        <w:rPr>
          <w:rFonts w:ascii="Times New Roman" w:hAnsi="Times New Roman" w:cs="Times New Roman"/>
        </w:rPr>
        <w:t>eg</w:t>
      </w:r>
      <w:proofErr w:type="spellEnd"/>
      <w:r>
        <w:rPr>
          <w:rFonts w:ascii="Times New Roman" w:hAnsi="Times New Roman" w:cs="Times New Roman"/>
        </w:rPr>
        <w:t xml:space="preserve"> </w:t>
      </w:r>
      <w:proofErr w:type="spellStart"/>
      <w:r>
        <w:rPr>
          <w:rFonts w:ascii="Times New Roman" w:hAnsi="Times New Roman" w:cs="Times New Roman"/>
        </w:rPr>
        <w:t>Hobhouse</w:t>
      </w:r>
      <w:proofErr w:type="spellEnd"/>
      <w:r>
        <w:rPr>
          <w:rFonts w:ascii="Times New Roman" w:hAnsi="Times New Roman" w:cs="Times New Roman"/>
        </w:rPr>
        <w:t xml:space="preserve"> LJ in </w:t>
      </w:r>
      <w:proofErr w:type="spellStart"/>
      <w:r>
        <w:rPr>
          <w:rFonts w:ascii="Times New Roman" w:hAnsi="Times New Roman" w:cs="Times New Roman"/>
          <w:i/>
        </w:rPr>
        <w:t>Sledmore</w:t>
      </w:r>
      <w:proofErr w:type="spellEnd"/>
      <w:r>
        <w:rPr>
          <w:rFonts w:ascii="Times New Roman" w:hAnsi="Times New Roman" w:cs="Times New Roman"/>
          <w:i/>
        </w:rPr>
        <w:t xml:space="preserve"> v </w:t>
      </w:r>
      <w:proofErr w:type="spellStart"/>
      <w:r>
        <w:rPr>
          <w:rFonts w:ascii="Times New Roman" w:hAnsi="Times New Roman" w:cs="Times New Roman"/>
          <w:i/>
        </w:rPr>
        <w:t>Dalby</w:t>
      </w:r>
      <w:proofErr w:type="spellEnd"/>
      <w:r>
        <w:rPr>
          <w:rFonts w:ascii="Times New Roman" w:hAnsi="Times New Roman" w:cs="Times New Roman"/>
        </w:rPr>
        <w:t xml:space="preserve"> (1996) 72 P &amp; CR 196 (CA) 208) or is the rule simply that the extent must not be </w:t>
      </w:r>
      <w:r w:rsidR="00EC62BF">
        <w:rPr>
          <w:rFonts w:ascii="Times New Roman" w:hAnsi="Times New Roman" w:cs="Times New Roman"/>
        </w:rPr>
        <w:t xml:space="preserve">wholly </w:t>
      </w:r>
      <w:r>
        <w:rPr>
          <w:rFonts w:ascii="Times New Roman" w:hAnsi="Times New Roman" w:cs="Times New Roman"/>
        </w:rPr>
        <w:t>disproportionate to that detriment (</w:t>
      </w:r>
      <w:r w:rsidR="00EC62BF">
        <w:rPr>
          <w:rFonts w:ascii="Times New Roman" w:hAnsi="Times New Roman" w:cs="Times New Roman"/>
        </w:rPr>
        <w:t>see</w:t>
      </w:r>
      <w:r>
        <w:rPr>
          <w:rFonts w:ascii="Times New Roman" w:hAnsi="Times New Roman" w:cs="Times New Roman"/>
        </w:rPr>
        <w:t xml:space="preserve"> </w:t>
      </w:r>
      <w:proofErr w:type="spellStart"/>
      <w:r>
        <w:rPr>
          <w:rFonts w:ascii="Times New Roman" w:hAnsi="Times New Roman" w:cs="Times New Roman"/>
        </w:rPr>
        <w:t>eg</w:t>
      </w:r>
      <w:proofErr w:type="spellEnd"/>
      <w:r>
        <w:rPr>
          <w:rFonts w:ascii="Times New Roman" w:hAnsi="Times New Roman" w:cs="Times New Roman"/>
        </w:rPr>
        <w:t xml:space="preserve"> Arden LJ in </w:t>
      </w:r>
      <w:proofErr w:type="spellStart"/>
      <w:r>
        <w:rPr>
          <w:rFonts w:ascii="Times New Roman" w:hAnsi="Times New Roman" w:cs="Times New Roman"/>
          <w:i/>
        </w:rPr>
        <w:t>Suggitt</w:t>
      </w:r>
      <w:proofErr w:type="spellEnd"/>
      <w:r>
        <w:rPr>
          <w:rFonts w:ascii="Times New Roman" w:hAnsi="Times New Roman" w:cs="Times New Roman"/>
          <w:i/>
        </w:rPr>
        <w:t xml:space="preserve"> v </w:t>
      </w:r>
      <w:proofErr w:type="spellStart"/>
      <w:r>
        <w:rPr>
          <w:rFonts w:ascii="Times New Roman" w:hAnsi="Times New Roman" w:cs="Times New Roman"/>
          <w:i/>
        </w:rPr>
        <w:t>Suggitt</w:t>
      </w:r>
      <w:proofErr w:type="spellEnd"/>
      <w:r>
        <w:rPr>
          <w:rFonts w:ascii="Times New Roman" w:hAnsi="Times New Roman" w:cs="Times New Roman"/>
          <w:i/>
        </w:rPr>
        <w:t xml:space="preserve"> </w:t>
      </w:r>
      <w:r>
        <w:rPr>
          <w:rFonts w:ascii="Times New Roman" w:hAnsi="Times New Roman" w:cs="Times New Roman"/>
        </w:rPr>
        <w:t xml:space="preserve">[2012] EWCA </w:t>
      </w:r>
      <w:proofErr w:type="spellStart"/>
      <w:r>
        <w:rPr>
          <w:rFonts w:ascii="Times New Roman" w:hAnsi="Times New Roman" w:cs="Times New Roman"/>
        </w:rPr>
        <w:t>Civ</w:t>
      </w:r>
      <w:proofErr w:type="spellEnd"/>
      <w:r>
        <w:rPr>
          <w:rFonts w:ascii="Times New Roman" w:hAnsi="Times New Roman" w:cs="Times New Roman"/>
        </w:rPr>
        <w:t xml:space="preserve"> 1140 [45]</w:t>
      </w:r>
      <w:r w:rsidR="005A25B3">
        <w:rPr>
          <w:rFonts w:ascii="Times New Roman" w:hAnsi="Times New Roman" w:cs="Times New Roman"/>
        </w:rPr>
        <w:t>)</w:t>
      </w:r>
      <w:r>
        <w:rPr>
          <w:rFonts w:ascii="Times New Roman" w:hAnsi="Times New Roman" w:cs="Times New Roman"/>
        </w:rPr>
        <w:t>? The best way forward</w:t>
      </w:r>
      <w:r w:rsidR="00EC62BF">
        <w:rPr>
          <w:rFonts w:ascii="Times New Roman" w:hAnsi="Times New Roman" w:cs="Times New Roman"/>
        </w:rPr>
        <w:t xml:space="preserve"> </w:t>
      </w:r>
      <w:r>
        <w:rPr>
          <w:rFonts w:ascii="Times New Roman" w:hAnsi="Times New Roman" w:cs="Times New Roman"/>
        </w:rPr>
        <w:t xml:space="preserve">is to focus on the </w:t>
      </w:r>
      <w:r w:rsidR="005A25B3">
        <w:rPr>
          <w:rFonts w:ascii="Times New Roman" w:hAnsi="Times New Roman" w:cs="Times New Roman"/>
        </w:rPr>
        <w:t>basic need to</w:t>
      </w:r>
      <w:r>
        <w:rPr>
          <w:rFonts w:ascii="Times New Roman" w:hAnsi="Times New Roman" w:cs="Times New Roman"/>
        </w:rPr>
        <w:t xml:space="preserve"> ensur</w:t>
      </w:r>
      <w:r w:rsidR="005A25B3">
        <w:rPr>
          <w:rFonts w:ascii="Times New Roman" w:hAnsi="Times New Roman" w:cs="Times New Roman"/>
        </w:rPr>
        <w:t>e</w:t>
      </w:r>
      <w:r>
        <w:rPr>
          <w:rFonts w:ascii="Times New Roman" w:hAnsi="Times New Roman" w:cs="Times New Roman"/>
        </w:rPr>
        <w:t xml:space="preserve"> that B suffers no detriment as a result of his or her reasonable reliance on A’s promise.</w:t>
      </w:r>
    </w:p>
    <w:p w:rsidR="003C41EA" w:rsidRPr="003C41EA" w:rsidRDefault="003C41EA" w:rsidP="003C41EA">
      <w:pPr>
        <w:pStyle w:val="ListParagraph"/>
        <w:ind w:left="0"/>
        <w:contextualSpacing w:val="0"/>
        <w:rPr>
          <w:rFonts w:ascii="Times New Roman" w:hAnsi="Times New Roman" w:cs="Times New Roman"/>
          <w:b/>
        </w:rPr>
      </w:pPr>
      <w:r>
        <w:rPr>
          <w:rFonts w:ascii="Times New Roman" w:hAnsi="Times New Roman" w:cs="Times New Roman"/>
          <w:b/>
          <w:i/>
        </w:rPr>
        <w:t>Further Issues</w:t>
      </w:r>
    </w:p>
    <w:p w:rsidR="003E7BF0" w:rsidRPr="005A25B3" w:rsidRDefault="005A25B3" w:rsidP="00CD0EF4">
      <w:pPr>
        <w:pStyle w:val="ListParagraph"/>
        <w:numPr>
          <w:ilvl w:val="0"/>
          <w:numId w:val="7"/>
        </w:numPr>
        <w:ind w:left="0"/>
        <w:contextualSpacing w:val="0"/>
        <w:rPr>
          <w:rFonts w:ascii="Times New Roman" w:hAnsi="Times New Roman" w:cs="Times New Roman"/>
          <w:b/>
        </w:rPr>
      </w:pPr>
      <w:r w:rsidRPr="005A25B3">
        <w:rPr>
          <w:rFonts w:ascii="Times New Roman" w:hAnsi="Times New Roman" w:cs="Times New Roman"/>
        </w:rPr>
        <w:t xml:space="preserve">Questions remain as to </w:t>
      </w:r>
      <w:proofErr w:type="spellStart"/>
      <w:r w:rsidRPr="005A25B3">
        <w:rPr>
          <w:rFonts w:ascii="Times New Roman" w:hAnsi="Times New Roman" w:cs="Times New Roman"/>
        </w:rPr>
        <w:t>eg</w:t>
      </w:r>
      <w:proofErr w:type="spellEnd"/>
      <w:r w:rsidRPr="005A25B3">
        <w:rPr>
          <w:rFonts w:ascii="Times New Roman" w:hAnsi="Times New Roman" w:cs="Times New Roman"/>
        </w:rPr>
        <w:t xml:space="preserve"> the impact of vitiating factors or changes of circumstances on B’s claim (see 5.83-5.112); the relationship with taxation (see 10.10-10.26)</w:t>
      </w:r>
      <w:r w:rsidR="00EC62BF">
        <w:rPr>
          <w:rFonts w:ascii="Times New Roman" w:hAnsi="Times New Roman" w:cs="Times New Roman"/>
        </w:rPr>
        <w:t xml:space="preserve">; </w:t>
      </w:r>
      <w:r w:rsidRPr="005A25B3">
        <w:rPr>
          <w:rFonts w:ascii="Times New Roman" w:hAnsi="Times New Roman" w:cs="Times New Roman"/>
        </w:rPr>
        <w:t>the conflict of laws (10.27-10.36)</w:t>
      </w:r>
      <w:r w:rsidR="00EC62BF">
        <w:rPr>
          <w:rFonts w:ascii="Times New Roman" w:hAnsi="Times New Roman" w:cs="Times New Roman"/>
        </w:rPr>
        <w:t>;</w:t>
      </w:r>
      <w:r w:rsidRPr="005A25B3">
        <w:rPr>
          <w:rFonts w:ascii="Times New Roman" w:hAnsi="Times New Roman" w:cs="Times New Roman"/>
        </w:rPr>
        <w:t xml:space="preserve"> and the potential application of the promise-based strand in cases where A’s promise does not relate to any specific property owned (or about to be owned) by A: </w:t>
      </w:r>
      <w:r w:rsidR="00CE363F">
        <w:rPr>
          <w:rFonts w:ascii="Times New Roman" w:hAnsi="Times New Roman" w:cs="Times New Roman"/>
        </w:rPr>
        <w:t xml:space="preserve">(see </w:t>
      </w:r>
      <w:proofErr w:type="spellStart"/>
      <w:r w:rsidRPr="005A25B3">
        <w:rPr>
          <w:rFonts w:ascii="Times New Roman" w:hAnsi="Times New Roman" w:cs="Times New Roman"/>
          <w:i/>
        </w:rPr>
        <w:t>Thorner</w:t>
      </w:r>
      <w:proofErr w:type="spellEnd"/>
      <w:r w:rsidRPr="005A25B3">
        <w:rPr>
          <w:rFonts w:ascii="Times New Roman" w:hAnsi="Times New Roman" w:cs="Times New Roman"/>
          <w:i/>
        </w:rPr>
        <w:t xml:space="preserve"> </w:t>
      </w:r>
      <w:r w:rsidRPr="005A25B3">
        <w:rPr>
          <w:rFonts w:ascii="Times New Roman" w:hAnsi="Times New Roman" w:cs="Times New Roman"/>
        </w:rPr>
        <w:t xml:space="preserve">at [61] </w:t>
      </w:r>
      <w:r w:rsidR="00CE363F">
        <w:rPr>
          <w:rFonts w:ascii="Times New Roman" w:hAnsi="Times New Roman" w:cs="Times New Roman"/>
        </w:rPr>
        <w:t>and</w:t>
      </w:r>
      <w:r w:rsidRPr="005A25B3">
        <w:rPr>
          <w:rFonts w:ascii="Times New Roman" w:hAnsi="Times New Roman" w:cs="Times New Roman"/>
        </w:rPr>
        <w:t xml:space="preserve"> 10.59-10.78).</w:t>
      </w:r>
    </w:p>
    <w:sectPr w:rsidR="003E7BF0" w:rsidRPr="005A25B3" w:rsidSect="0054638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4A" w:rsidRDefault="00947F4A" w:rsidP="000E3771">
      <w:pPr>
        <w:spacing w:after="0" w:line="240" w:lineRule="auto"/>
      </w:pPr>
      <w:r>
        <w:separator/>
      </w:r>
    </w:p>
  </w:endnote>
  <w:endnote w:type="continuationSeparator" w:id="0">
    <w:p w:rsidR="00947F4A" w:rsidRDefault="00947F4A" w:rsidP="000E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13080"/>
      <w:docPartObj>
        <w:docPartGallery w:val="Page Numbers (Bottom of Page)"/>
        <w:docPartUnique/>
      </w:docPartObj>
    </w:sdtPr>
    <w:sdtEndPr/>
    <w:sdtContent>
      <w:p w:rsidR="001339B2" w:rsidRDefault="00EC219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339B2" w:rsidRDefault="001339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4A" w:rsidRDefault="00947F4A" w:rsidP="000E3771">
      <w:pPr>
        <w:spacing w:after="0" w:line="240" w:lineRule="auto"/>
      </w:pPr>
      <w:r>
        <w:separator/>
      </w:r>
    </w:p>
  </w:footnote>
  <w:footnote w:type="continuationSeparator" w:id="0">
    <w:p w:rsidR="00947F4A" w:rsidRDefault="00947F4A" w:rsidP="000E3771">
      <w:pPr>
        <w:spacing w:after="0" w:line="240" w:lineRule="auto"/>
      </w:pPr>
      <w:r>
        <w:continuationSeparator/>
      </w:r>
    </w:p>
  </w:footnote>
  <w:footnote w:id="1">
    <w:p w:rsidR="00B8726B" w:rsidRPr="00B8726B" w:rsidRDefault="00B8726B">
      <w:pPr>
        <w:pStyle w:val="FootnoteText"/>
        <w:rPr>
          <w:sz w:val="20"/>
          <w:szCs w:val="20"/>
        </w:rPr>
      </w:pPr>
      <w:r w:rsidRPr="00B8726B">
        <w:rPr>
          <w:rStyle w:val="FootnoteReference"/>
          <w:rFonts w:ascii="Times New Roman" w:hAnsi="Times New Roman" w:cs="Times New Roman"/>
          <w:sz w:val="20"/>
          <w:szCs w:val="20"/>
        </w:rPr>
        <w:footnoteRef/>
      </w:r>
      <w:r w:rsidRPr="00B8726B">
        <w:rPr>
          <w:rFonts w:ascii="Times New Roman" w:hAnsi="Times New Roman" w:cs="Times New Roman"/>
          <w:sz w:val="20"/>
          <w:szCs w:val="20"/>
        </w:rPr>
        <w:t xml:space="preserve"> See e.g. </w:t>
      </w:r>
      <w:proofErr w:type="spellStart"/>
      <w:r w:rsidRPr="00B8726B">
        <w:rPr>
          <w:rFonts w:ascii="Times New Roman" w:hAnsi="Times New Roman" w:cs="Times New Roman"/>
          <w:sz w:val="20"/>
          <w:szCs w:val="20"/>
        </w:rPr>
        <w:t>eg</w:t>
      </w:r>
      <w:proofErr w:type="spellEnd"/>
      <w:r w:rsidRPr="00B8726B">
        <w:rPr>
          <w:rFonts w:ascii="Times New Roman" w:hAnsi="Times New Roman" w:cs="Times New Roman"/>
          <w:sz w:val="20"/>
          <w:szCs w:val="20"/>
        </w:rPr>
        <w:t xml:space="preserve"> </w:t>
      </w:r>
      <w:r w:rsidRPr="00B8726B">
        <w:rPr>
          <w:rFonts w:ascii="Times New Roman" w:hAnsi="Times New Roman" w:cs="Times New Roman"/>
          <w:i/>
          <w:sz w:val="20"/>
          <w:szCs w:val="20"/>
        </w:rPr>
        <w:t xml:space="preserve">Holiday Inns v </w:t>
      </w:r>
      <w:proofErr w:type="spellStart"/>
      <w:r w:rsidRPr="00B8726B">
        <w:rPr>
          <w:rFonts w:ascii="Times New Roman" w:hAnsi="Times New Roman" w:cs="Times New Roman"/>
          <w:i/>
          <w:sz w:val="20"/>
          <w:szCs w:val="20"/>
        </w:rPr>
        <w:t>Broadhead</w:t>
      </w:r>
      <w:proofErr w:type="spellEnd"/>
      <w:r w:rsidRPr="00B8726B">
        <w:rPr>
          <w:rFonts w:ascii="Times New Roman" w:hAnsi="Times New Roman" w:cs="Times New Roman"/>
          <w:i/>
          <w:sz w:val="20"/>
          <w:szCs w:val="20"/>
        </w:rPr>
        <w:t xml:space="preserve"> </w:t>
      </w:r>
      <w:r w:rsidRPr="00B8726B">
        <w:rPr>
          <w:rFonts w:ascii="Times New Roman" w:hAnsi="Times New Roman" w:cs="Times New Roman"/>
          <w:sz w:val="20"/>
          <w:szCs w:val="20"/>
        </w:rPr>
        <w:t xml:space="preserve">(1974) 232 EG 951, 1087 (Ch); </w:t>
      </w:r>
      <w:r w:rsidRPr="00B8726B">
        <w:rPr>
          <w:rFonts w:ascii="Times New Roman" w:hAnsi="Times New Roman" w:cs="Times New Roman"/>
          <w:i/>
          <w:sz w:val="20"/>
          <w:szCs w:val="20"/>
        </w:rPr>
        <w:t xml:space="preserve">Lloyd v </w:t>
      </w:r>
      <w:proofErr w:type="spellStart"/>
      <w:r w:rsidRPr="00B8726B">
        <w:rPr>
          <w:rFonts w:ascii="Times New Roman" w:hAnsi="Times New Roman" w:cs="Times New Roman"/>
          <w:i/>
          <w:sz w:val="20"/>
          <w:szCs w:val="20"/>
        </w:rPr>
        <w:t>Dugdale</w:t>
      </w:r>
      <w:proofErr w:type="spellEnd"/>
      <w:r w:rsidRPr="00B8726B">
        <w:rPr>
          <w:rFonts w:ascii="Times New Roman" w:hAnsi="Times New Roman" w:cs="Times New Roman"/>
          <w:i/>
          <w:sz w:val="20"/>
          <w:szCs w:val="20"/>
        </w:rPr>
        <w:t xml:space="preserve"> </w:t>
      </w:r>
      <w:r w:rsidRPr="00B8726B">
        <w:rPr>
          <w:rFonts w:ascii="Times New Roman" w:hAnsi="Times New Roman" w:cs="Times New Roman"/>
          <w:sz w:val="20"/>
          <w:szCs w:val="20"/>
        </w:rPr>
        <w:t xml:space="preserve">[2001] EWCA </w:t>
      </w:r>
      <w:proofErr w:type="spellStart"/>
      <w:r w:rsidRPr="00B8726B">
        <w:rPr>
          <w:rFonts w:ascii="Times New Roman" w:hAnsi="Times New Roman" w:cs="Times New Roman"/>
          <w:sz w:val="20"/>
          <w:szCs w:val="20"/>
        </w:rPr>
        <w:t>Civ</w:t>
      </w:r>
      <w:proofErr w:type="spellEnd"/>
      <w:r w:rsidRPr="00B8726B">
        <w:rPr>
          <w:rFonts w:ascii="Times New Roman" w:hAnsi="Times New Roman" w:cs="Times New Roman"/>
          <w:sz w:val="20"/>
          <w:szCs w:val="20"/>
        </w:rPr>
        <w:t xml:space="preserve"> 1754; </w:t>
      </w:r>
      <w:proofErr w:type="spellStart"/>
      <w:r w:rsidRPr="00B8726B">
        <w:rPr>
          <w:rFonts w:ascii="Times New Roman" w:hAnsi="Times New Roman" w:cs="Times New Roman"/>
          <w:i/>
          <w:sz w:val="20"/>
          <w:szCs w:val="20"/>
        </w:rPr>
        <w:t>Kinane</w:t>
      </w:r>
      <w:proofErr w:type="spellEnd"/>
      <w:r w:rsidRPr="00B8726B">
        <w:rPr>
          <w:rFonts w:ascii="Times New Roman" w:hAnsi="Times New Roman" w:cs="Times New Roman"/>
          <w:i/>
          <w:sz w:val="20"/>
          <w:szCs w:val="20"/>
        </w:rPr>
        <w:t xml:space="preserve"> v Mackie-</w:t>
      </w:r>
      <w:proofErr w:type="spellStart"/>
      <w:r w:rsidRPr="00B8726B">
        <w:rPr>
          <w:rFonts w:ascii="Times New Roman" w:hAnsi="Times New Roman" w:cs="Times New Roman"/>
          <w:i/>
          <w:sz w:val="20"/>
          <w:szCs w:val="20"/>
        </w:rPr>
        <w:t>Conteh</w:t>
      </w:r>
      <w:proofErr w:type="spellEnd"/>
      <w:r w:rsidRPr="00B8726B">
        <w:rPr>
          <w:rFonts w:ascii="Times New Roman" w:hAnsi="Times New Roman" w:cs="Times New Roman"/>
          <w:i/>
          <w:sz w:val="20"/>
          <w:szCs w:val="20"/>
        </w:rPr>
        <w:t xml:space="preserve"> </w:t>
      </w:r>
      <w:r w:rsidRPr="00B8726B">
        <w:rPr>
          <w:rFonts w:ascii="Times New Roman" w:hAnsi="Times New Roman" w:cs="Times New Roman"/>
          <w:sz w:val="20"/>
          <w:szCs w:val="20"/>
        </w:rPr>
        <w:t xml:space="preserve">[2005] EWCA </w:t>
      </w:r>
      <w:proofErr w:type="spellStart"/>
      <w:r w:rsidRPr="00B8726B">
        <w:rPr>
          <w:rFonts w:ascii="Times New Roman" w:hAnsi="Times New Roman" w:cs="Times New Roman"/>
          <w:sz w:val="20"/>
          <w:szCs w:val="20"/>
        </w:rPr>
        <w:t>Civ</w:t>
      </w:r>
      <w:proofErr w:type="spellEnd"/>
      <w:r w:rsidRPr="00B8726B">
        <w:rPr>
          <w:rFonts w:ascii="Times New Roman" w:hAnsi="Times New Roman" w:cs="Times New Roman"/>
          <w:sz w:val="20"/>
          <w:szCs w:val="20"/>
        </w:rPr>
        <w:t xml:space="preserve"> 45; </w:t>
      </w:r>
      <w:r w:rsidRPr="00B8726B">
        <w:rPr>
          <w:rFonts w:ascii="Times New Roman" w:hAnsi="Times New Roman" w:cs="Times New Roman"/>
          <w:i/>
          <w:sz w:val="20"/>
          <w:szCs w:val="20"/>
        </w:rPr>
        <w:t xml:space="preserve">Sutcliffe v Lloyd </w:t>
      </w:r>
      <w:r w:rsidRPr="00B8726B">
        <w:rPr>
          <w:rFonts w:ascii="Times New Roman" w:hAnsi="Times New Roman" w:cs="Times New Roman"/>
          <w:sz w:val="20"/>
          <w:szCs w:val="20"/>
        </w:rPr>
        <w:t xml:space="preserve">[2007] EWCA </w:t>
      </w:r>
      <w:proofErr w:type="spellStart"/>
      <w:r w:rsidRPr="00B8726B">
        <w:rPr>
          <w:rFonts w:ascii="Times New Roman" w:hAnsi="Times New Roman" w:cs="Times New Roman"/>
          <w:sz w:val="20"/>
          <w:szCs w:val="20"/>
        </w:rPr>
        <w:t>Civ</w:t>
      </w:r>
      <w:proofErr w:type="spellEnd"/>
      <w:r w:rsidRPr="00B8726B">
        <w:rPr>
          <w:rFonts w:ascii="Times New Roman" w:hAnsi="Times New Roman" w:cs="Times New Roman"/>
          <w:sz w:val="20"/>
          <w:szCs w:val="20"/>
        </w:rPr>
        <w:t xml:space="preserve"> 153</w:t>
      </w:r>
      <w:r>
        <w:rPr>
          <w:rFonts w:ascii="Times New Roman" w:hAnsi="Times New Roman" w:cs="Times New Roman"/>
          <w:sz w:val="20"/>
          <w:szCs w:val="20"/>
        </w:rPr>
        <w:t>.</w:t>
      </w:r>
    </w:p>
  </w:footnote>
  <w:footnote w:id="2">
    <w:p w:rsidR="00B8726B" w:rsidRPr="00B8726B" w:rsidRDefault="00B8726B" w:rsidP="00B8726B">
      <w:pPr>
        <w:pStyle w:val="FootnoteText"/>
        <w:rPr>
          <w:rFonts w:ascii="Times New Roman" w:hAnsi="Times New Roman" w:cs="Times New Roman"/>
          <w:sz w:val="20"/>
          <w:szCs w:val="20"/>
        </w:rPr>
      </w:pPr>
      <w:r w:rsidRPr="00B8726B">
        <w:rPr>
          <w:rStyle w:val="FootnoteReference"/>
          <w:rFonts w:ascii="Times New Roman" w:hAnsi="Times New Roman" w:cs="Times New Roman"/>
          <w:sz w:val="20"/>
          <w:szCs w:val="20"/>
        </w:rPr>
        <w:footnoteRef/>
      </w:r>
      <w:r w:rsidRPr="00B8726B">
        <w:rPr>
          <w:rFonts w:ascii="Times New Roman" w:hAnsi="Times New Roman" w:cs="Times New Roman"/>
          <w:sz w:val="20"/>
          <w:szCs w:val="20"/>
        </w:rPr>
        <w:t xml:space="preserve"> See e.g. </w:t>
      </w:r>
      <w:r w:rsidRPr="00B8726B">
        <w:rPr>
          <w:rFonts w:ascii="Times New Roman" w:hAnsi="Times New Roman" w:cs="Times New Roman"/>
          <w:i/>
          <w:sz w:val="20"/>
          <w:szCs w:val="20"/>
        </w:rPr>
        <w:t xml:space="preserve">Herbert v Doyle </w:t>
      </w:r>
      <w:r w:rsidRPr="00B8726B">
        <w:rPr>
          <w:rFonts w:ascii="Times New Roman" w:hAnsi="Times New Roman" w:cs="Times New Roman"/>
          <w:sz w:val="20"/>
          <w:szCs w:val="20"/>
        </w:rPr>
        <w:t xml:space="preserve">[2010] EWCA </w:t>
      </w:r>
      <w:proofErr w:type="spellStart"/>
      <w:r w:rsidRPr="00B8726B">
        <w:rPr>
          <w:rFonts w:ascii="Times New Roman" w:hAnsi="Times New Roman" w:cs="Times New Roman"/>
          <w:sz w:val="20"/>
          <w:szCs w:val="20"/>
        </w:rPr>
        <w:t>Civ</w:t>
      </w:r>
      <w:proofErr w:type="spellEnd"/>
      <w:r w:rsidRPr="00B8726B">
        <w:rPr>
          <w:rFonts w:ascii="Times New Roman" w:hAnsi="Times New Roman" w:cs="Times New Roman"/>
          <w:sz w:val="20"/>
          <w:szCs w:val="20"/>
        </w:rPr>
        <w:t xml:space="preserve"> 1095.</w:t>
      </w:r>
    </w:p>
  </w:footnote>
  <w:footnote w:id="3">
    <w:p w:rsidR="007576D0" w:rsidRPr="007576D0" w:rsidRDefault="007576D0">
      <w:pPr>
        <w:pStyle w:val="FootnoteText"/>
        <w:rPr>
          <w:rFonts w:ascii="Times New Roman" w:hAnsi="Times New Roman" w:cs="Times New Roman"/>
          <w:sz w:val="20"/>
          <w:szCs w:val="20"/>
        </w:rPr>
      </w:pPr>
      <w:r w:rsidRPr="007576D0">
        <w:rPr>
          <w:rStyle w:val="FootnoteReference"/>
          <w:rFonts w:ascii="Times New Roman" w:hAnsi="Times New Roman" w:cs="Times New Roman"/>
          <w:sz w:val="20"/>
          <w:szCs w:val="20"/>
        </w:rPr>
        <w:footnoteRef/>
      </w:r>
      <w:r w:rsidRPr="007576D0">
        <w:rPr>
          <w:rFonts w:ascii="Times New Roman" w:hAnsi="Times New Roman" w:cs="Times New Roman"/>
          <w:sz w:val="20"/>
          <w:szCs w:val="20"/>
        </w:rPr>
        <w:t xml:space="preserve"> See e.g. </w:t>
      </w:r>
      <w:proofErr w:type="spellStart"/>
      <w:r w:rsidRPr="007576D0">
        <w:rPr>
          <w:rFonts w:ascii="Times New Roman" w:hAnsi="Times New Roman" w:cs="Times New Roman"/>
          <w:i/>
          <w:sz w:val="20"/>
          <w:szCs w:val="20"/>
        </w:rPr>
        <w:t>Willmot</w:t>
      </w:r>
      <w:proofErr w:type="spellEnd"/>
      <w:r w:rsidRPr="007576D0">
        <w:rPr>
          <w:rFonts w:ascii="Times New Roman" w:hAnsi="Times New Roman" w:cs="Times New Roman"/>
          <w:i/>
          <w:sz w:val="20"/>
          <w:szCs w:val="20"/>
        </w:rPr>
        <w:t xml:space="preserve"> v Barber </w:t>
      </w:r>
      <w:r w:rsidRPr="007576D0">
        <w:rPr>
          <w:rFonts w:ascii="Times New Roman" w:hAnsi="Times New Roman" w:cs="Times New Roman"/>
          <w:sz w:val="20"/>
          <w:szCs w:val="20"/>
        </w:rPr>
        <w:t xml:space="preserve">(1880) 15 Ch D 96, 105-6 (Fry J); </w:t>
      </w:r>
      <w:proofErr w:type="spellStart"/>
      <w:r w:rsidRPr="007576D0">
        <w:rPr>
          <w:rFonts w:ascii="Times New Roman" w:hAnsi="Times New Roman" w:cs="Times New Roman"/>
          <w:i/>
          <w:sz w:val="20"/>
          <w:szCs w:val="20"/>
        </w:rPr>
        <w:t>Kammins</w:t>
      </w:r>
      <w:proofErr w:type="spellEnd"/>
      <w:r w:rsidRPr="007576D0">
        <w:rPr>
          <w:rFonts w:ascii="Times New Roman" w:hAnsi="Times New Roman" w:cs="Times New Roman"/>
          <w:i/>
          <w:sz w:val="20"/>
          <w:szCs w:val="20"/>
        </w:rPr>
        <w:t xml:space="preserve"> Ballroom Co Ltd v Zenith Investments (Torquay) Ltd </w:t>
      </w:r>
      <w:r w:rsidRPr="007576D0">
        <w:rPr>
          <w:rFonts w:ascii="Times New Roman" w:hAnsi="Times New Roman" w:cs="Times New Roman"/>
          <w:sz w:val="20"/>
          <w:szCs w:val="20"/>
        </w:rPr>
        <w:t xml:space="preserve">[1971] AC 850, 884-5 (Lord </w:t>
      </w:r>
      <w:proofErr w:type="spellStart"/>
      <w:r w:rsidRPr="007576D0">
        <w:rPr>
          <w:rFonts w:ascii="Times New Roman" w:hAnsi="Times New Roman" w:cs="Times New Roman"/>
          <w:sz w:val="20"/>
          <w:szCs w:val="20"/>
        </w:rPr>
        <w:t>Diplock</w:t>
      </w:r>
      <w:proofErr w:type="spellEnd"/>
      <w:r w:rsidRPr="007576D0">
        <w:rPr>
          <w:rFonts w:ascii="Times New Roman" w:hAnsi="Times New Roman" w:cs="Times New Roman"/>
          <w:sz w:val="20"/>
          <w:szCs w:val="20"/>
        </w:rPr>
        <w:t>).</w:t>
      </w:r>
      <w:r>
        <w:rPr>
          <w:rFonts w:ascii="Times New Roman" w:hAnsi="Times New Roman" w:cs="Times New Roman"/>
          <w:sz w:val="20"/>
          <w:szCs w:val="20"/>
        </w:rPr>
        <w:t xml:space="preserve"> Note too Low (2012) 128 LQR 63.</w:t>
      </w:r>
    </w:p>
  </w:footnote>
  <w:footnote w:id="4">
    <w:p w:rsidR="00FD67F2" w:rsidRPr="00841ED2" w:rsidRDefault="00FD67F2">
      <w:pPr>
        <w:pStyle w:val="FootnoteText"/>
        <w:rPr>
          <w:rFonts w:ascii="Times New Roman" w:hAnsi="Times New Roman" w:cs="Times New Roman"/>
          <w:sz w:val="18"/>
          <w:szCs w:val="18"/>
        </w:rPr>
      </w:pPr>
      <w:r w:rsidRPr="00841ED2">
        <w:rPr>
          <w:rStyle w:val="FootnoteReference"/>
          <w:rFonts w:ascii="Times New Roman" w:hAnsi="Times New Roman" w:cs="Times New Roman"/>
          <w:sz w:val="18"/>
          <w:szCs w:val="18"/>
        </w:rPr>
        <w:footnoteRef/>
      </w:r>
      <w:r w:rsidRPr="00841ED2">
        <w:rPr>
          <w:rFonts w:ascii="Times New Roman" w:hAnsi="Times New Roman" w:cs="Times New Roman"/>
          <w:sz w:val="18"/>
          <w:szCs w:val="18"/>
        </w:rPr>
        <w:t xml:space="preserve"> See e.g. </w:t>
      </w:r>
      <w:r w:rsidRPr="00841ED2">
        <w:rPr>
          <w:rFonts w:ascii="Times New Roman" w:hAnsi="Times New Roman" w:cs="Times New Roman"/>
          <w:i/>
          <w:sz w:val="18"/>
          <w:szCs w:val="18"/>
        </w:rPr>
        <w:t xml:space="preserve">Pascoe v Turner </w:t>
      </w:r>
      <w:r w:rsidRPr="00841ED2">
        <w:rPr>
          <w:rFonts w:ascii="Times New Roman" w:hAnsi="Times New Roman" w:cs="Times New Roman"/>
          <w:sz w:val="18"/>
          <w:szCs w:val="18"/>
        </w:rPr>
        <w:t xml:space="preserve">[1979] 1 WLR 431 (CA); </w:t>
      </w:r>
      <w:r w:rsidRPr="00841ED2">
        <w:rPr>
          <w:rFonts w:ascii="Times New Roman" w:hAnsi="Times New Roman" w:cs="Times New Roman"/>
          <w:i/>
          <w:sz w:val="18"/>
          <w:szCs w:val="18"/>
        </w:rPr>
        <w:t xml:space="preserve">Gillett v Holt </w:t>
      </w:r>
      <w:r w:rsidRPr="00841ED2">
        <w:rPr>
          <w:rFonts w:ascii="Times New Roman" w:hAnsi="Times New Roman" w:cs="Times New Roman"/>
          <w:sz w:val="18"/>
          <w:szCs w:val="18"/>
        </w:rPr>
        <w:t xml:space="preserve">[2001] Ch 210 (CA); </w:t>
      </w:r>
      <w:proofErr w:type="spellStart"/>
      <w:r w:rsidR="00841ED2">
        <w:rPr>
          <w:rFonts w:ascii="Times New Roman" w:hAnsi="Times New Roman" w:cs="Times New Roman"/>
          <w:i/>
          <w:sz w:val="18"/>
          <w:szCs w:val="18"/>
        </w:rPr>
        <w:t>Thorner</w:t>
      </w:r>
      <w:proofErr w:type="spellEnd"/>
      <w:r w:rsidR="00841ED2">
        <w:rPr>
          <w:rFonts w:ascii="Times New Roman" w:hAnsi="Times New Roman" w:cs="Times New Roman"/>
          <w:sz w:val="18"/>
          <w:szCs w:val="18"/>
        </w:rPr>
        <w:t>.</w:t>
      </w:r>
    </w:p>
  </w:footnote>
  <w:footnote w:id="5">
    <w:p w:rsidR="00FD67F2" w:rsidRPr="00841ED2" w:rsidRDefault="00FD67F2">
      <w:pPr>
        <w:pStyle w:val="FootnoteText"/>
        <w:rPr>
          <w:rFonts w:ascii="Times New Roman" w:hAnsi="Times New Roman" w:cs="Times New Roman"/>
          <w:sz w:val="18"/>
          <w:szCs w:val="18"/>
        </w:rPr>
      </w:pPr>
      <w:r w:rsidRPr="00841ED2">
        <w:rPr>
          <w:rStyle w:val="FootnoteReference"/>
          <w:rFonts w:ascii="Times New Roman" w:hAnsi="Times New Roman" w:cs="Times New Roman"/>
          <w:sz w:val="18"/>
          <w:szCs w:val="18"/>
        </w:rPr>
        <w:footnoteRef/>
      </w:r>
      <w:r w:rsidRPr="00841ED2">
        <w:rPr>
          <w:rFonts w:ascii="Times New Roman" w:hAnsi="Times New Roman" w:cs="Times New Roman"/>
          <w:sz w:val="18"/>
          <w:szCs w:val="18"/>
        </w:rPr>
        <w:t xml:space="preserve"> See e.g. </w:t>
      </w:r>
      <w:proofErr w:type="spellStart"/>
      <w:r w:rsidRPr="00841ED2">
        <w:rPr>
          <w:rFonts w:ascii="Times New Roman" w:hAnsi="Times New Roman" w:cs="Times New Roman"/>
          <w:i/>
          <w:sz w:val="18"/>
          <w:szCs w:val="18"/>
        </w:rPr>
        <w:t>Crabb</w:t>
      </w:r>
      <w:proofErr w:type="spellEnd"/>
      <w:r w:rsidRPr="00841ED2">
        <w:rPr>
          <w:rFonts w:ascii="Times New Roman" w:hAnsi="Times New Roman" w:cs="Times New Roman"/>
          <w:i/>
          <w:sz w:val="18"/>
          <w:szCs w:val="18"/>
        </w:rPr>
        <w:t xml:space="preserve"> v </w:t>
      </w:r>
      <w:proofErr w:type="spellStart"/>
      <w:r w:rsidRPr="00841ED2">
        <w:rPr>
          <w:rFonts w:ascii="Times New Roman" w:hAnsi="Times New Roman" w:cs="Times New Roman"/>
          <w:i/>
          <w:sz w:val="18"/>
          <w:szCs w:val="18"/>
        </w:rPr>
        <w:t>Arun</w:t>
      </w:r>
      <w:proofErr w:type="spellEnd"/>
      <w:r w:rsidRPr="00841ED2">
        <w:rPr>
          <w:rFonts w:ascii="Times New Roman" w:hAnsi="Times New Roman" w:cs="Times New Roman"/>
          <w:i/>
          <w:sz w:val="18"/>
          <w:szCs w:val="18"/>
        </w:rPr>
        <w:t xml:space="preserve"> District Council </w:t>
      </w:r>
      <w:r w:rsidRPr="00841ED2">
        <w:rPr>
          <w:rFonts w:ascii="Times New Roman" w:hAnsi="Times New Roman" w:cs="Times New Roman"/>
          <w:sz w:val="18"/>
          <w:szCs w:val="18"/>
        </w:rPr>
        <w:t xml:space="preserve">[1976] Ch 179 (CA); </w:t>
      </w:r>
      <w:proofErr w:type="spellStart"/>
      <w:r w:rsidRPr="00841ED2">
        <w:rPr>
          <w:rFonts w:ascii="Times New Roman" w:hAnsi="Times New Roman" w:cs="Times New Roman"/>
          <w:i/>
          <w:sz w:val="18"/>
          <w:szCs w:val="18"/>
        </w:rPr>
        <w:t>Kinane</w:t>
      </w:r>
      <w:proofErr w:type="spellEnd"/>
      <w:r w:rsidRPr="00841ED2">
        <w:rPr>
          <w:rFonts w:ascii="Times New Roman" w:hAnsi="Times New Roman" w:cs="Times New Roman"/>
          <w:i/>
          <w:sz w:val="18"/>
          <w:szCs w:val="18"/>
        </w:rPr>
        <w:t xml:space="preserve"> v Mackie-</w:t>
      </w:r>
      <w:proofErr w:type="spellStart"/>
      <w:r w:rsidRPr="00841ED2">
        <w:rPr>
          <w:rFonts w:ascii="Times New Roman" w:hAnsi="Times New Roman" w:cs="Times New Roman"/>
          <w:i/>
          <w:sz w:val="18"/>
          <w:szCs w:val="18"/>
        </w:rPr>
        <w:t>Conteh</w:t>
      </w:r>
      <w:proofErr w:type="spellEnd"/>
      <w:r w:rsidRPr="00841ED2">
        <w:rPr>
          <w:rFonts w:ascii="Times New Roman" w:hAnsi="Times New Roman" w:cs="Times New Roman"/>
          <w:i/>
          <w:sz w:val="18"/>
          <w:szCs w:val="18"/>
        </w:rPr>
        <w:t xml:space="preserve"> </w:t>
      </w:r>
      <w:r w:rsidRPr="00841ED2">
        <w:rPr>
          <w:rFonts w:ascii="Times New Roman" w:hAnsi="Times New Roman" w:cs="Times New Roman"/>
          <w:sz w:val="18"/>
          <w:szCs w:val="18"/>
        </w:rPr>
        <w:t xml:space="preserve">[2005] EWCA </w:t>
      </w:r>
      <w:proofErr w:type="spellStart"/>
      <w:r w:rsidRPr="00841ED2">
        <w:rPr>
          <w:rFonts w:ascii="Times New Roman" w:hAnsi="Times New Roman" w:cs="Times New Roman"/>
          <w:sz w:val="18"/>
          <w:szCs w:val="18"/>
        </w:rPr>
        <w:t>Civ</w:t>
      </w:r>
      <w:proofErr w:type="spellEnd"/>
      <w:r w:rsidRPr="00841ED2">
        <w:rPr>
          <w:rFonts w:ascii="Times New Roman" w:hAnsi="Times New Roman" w:cs="Times New Roman"/>
          <w:sz w:val="18"/>
          <w:szCs w:val="18"/>
        </w:rPr>
        <w:t xml:space="preserve"> 45, [2005] WTLR 345; </w:t>
      </w:r>
      <w:r w:rsidRPr="00841ED2">
        <w:rPr>
          <w:rFonts w:ascii="Times New Roman" w:hAnsi="Times New Roman" w:cs="Times New Roman"/>
          <w:i/>
          <w:sz w:val="18"/>
          <w:szCs w:val="18"/>
        </w:rPr>
        <w:t xml:space="preserve">Herbert v Doyle </w:t>
      </w:r>
      <w:r w:rsidRPr="00841ED2">
        <w:rPr>
          <w:rFonts w:ascii="Times New Roman" w:hAnsi="Times New Roman" w:cs="Times New Roman"/>
          <w:sz w:val="18"/>
          <w:szCs w:val="18"/>
        </w:rPr>
        <w:t xml:space="preserve">[2010] EWCA </w:t>
      </w:r>
      <w:proofErr w:type="spellStart"/>
      <w:r w:rsidRPr="00841ED2">
        <w:rPr>
          <w:rFonts w:ascii="Times New Roman" w:hAnsi="Times New Roman" w:cs="Times New Roman"/>
          <w:sz w:val="18"/>
          <w:szCs w:val="18"/>
        </w:rPr>
        <w:t>Civ</w:t>
      </w:r>
      <w:proofErr w:type="spellEnd"/>
      <w:r w:rsidRPr="00841ED2">
        <w:rPr>
          <w:rFonts w:ascii="Times New Roman" w:hAnsi="Times New Roman" w:cs="Times New Roman"/>
          <w:sz w:val="18"/>
          <w:szCs w:val="18"/>
        </w:rPr>
        <w:t xml:space="preserve"> 1095.</w:t>
      </w:r>
    </w:p>
  </w:footnote>
  <w:footnote w:id="6">
    <w:p w:rsidR="00FD67F2" w:rsidRPr="00841ED2" w:rsidRDefault="00FD67F2">
      <w:pPr>
        <w:pStyle w:val="FootnoteText"/>
        <w:rPr>
          <w:rFonts w:ascii="Times New Roman" w:hAnsi="Times New Roman" w:cs="Times New Roman"/>
          <w:i/>
          <w:sz w:val="18"/>
          <w:szCs w:val="18"/>
        </w:rPr>
      </w:pPr>
      <w:r w:rsidRPr="00841ED2">
        <w:rPr>
          <w:rStyle w:val="FootnoteReference"/>
          <w:rFonts w:ascii="Times New Roman" w:hAnsi="Times New Roman" w:cs="Times New Roman"/>
          <w:sz w:val="18"/>
          <w:szCs w:val="18"/>
        </w:rPr>
        <w:footnoteRef/>
      </w:r>
      <w:r w:rsidRPr="00841ED2">
        <w:rPr>
          <w:rFonts w:ascii="Times New Roman" w:hAnsi="Times New Roman" w:cs="Times New Roman"/>
          <w:sz w:val="18"/>
          <w:szCs w:val="18"/>
        </w:rPr>
        <w:t xml:space="preserve"> See e.g. </w:t>
      </w:r>
      <w:r w:rsidRPr="00841ED2">
        <w:rPr>
          <w:rFonts w:ascii="Times New Roman" w:hAnsi="Times New Roman" w:cs="Times New Roman"/>
          <w:i/>
          <w:sz w:val="18"/>
          <w:szCs w:val="18"/>
        </w:rPr>
        <w:t xml:space="preserve">Holiday Inns v </w:t>
      </w:r>
      <w:proofErr w:type="spellStart"/>
      <w:r w:rsidRPr="00841ED2">
        <w:rPr>
          <w:rFonts w:ascii="Times New Roman" w:hAnsi="Times New Roman" w:cs="Times New Roman"/>
          <w:i/>
          <w:sz w:val="18"/>
          <w:szCs w:val="18"/>
        </w:rPr>
        <w:t>Broadhead</w:t>
      </w:r>
      <w:proofErr w:type="spellEnd"/>
      <w:r w:rsidRPr="00841ED2">
        <w:rPr>
          <w:rFonts w:ascii="Times New Roman" w:hAnsi="Times New Roman" w:cs="Times New Roman"/>
          <w:i/>
          <w:sz w:val="18"/>
          <w:szCs w:val="18"/>
        </w:rPr>
        <w:t xml:space="preserve"> </w:t>
      </w:r>
      <w:r w:rsidRPr="00841ED2">
        <w:rPr>
          <w:rFonts w:ascii="Times New Roman" w:hAnsi="Times New Roman" w:cs="Times New Roman"/>
          <w:sz w:val="18"/>
          <w:szCs w:val="18"/>
        </w:rPr>
        <w:t xml:space="preserve">(1974) 232 EG 951, 1087; </w:t>
      </w:r>
      <w:r w:rsidRPr="00841ED2">
        <w:rPr>
          <w:rFonts w:ascii="Times New Roman" w:hAnsi="Times New Roman" w:cs="Times New Roman"/>
          <w:i/>
          <w:sz w:val="18"/>
          <w:szCs w:val="18"/>
        </w:rPr>
        <w:t xml:space="preserve">Esther Chan </w:t>
      </w:r>
      <w:proofErr w:type="spellStart"/>
      <w:r w:rsidRPr="00841ED2">
        <w:rPr>
          <w:rFonts w:ascii="Times New Roman" w:hAnsi="Times New Roman" w:cs="Times New Roman"/>
          <w:i/>
          <w:sz w:val="18"/>
          <w:szCs w:val="18"/>
        </w:rPr>
        <w:t>Pui</w:t>
      </w:r>
      <w:proofErr w:type="spellEnd"/>
      <w:r w:rsidRPr="00841ED2">
        <w:rPr>
          <w:rFonts w:ascii="Times New Roman" w:hAnsi="Times New Roman" w:cs="Times New Roman"/>
          <w:i/>
          <w:sz w:val="18"/>
          <w:szCs w:val="18"/>
        </w:rPr>
        <w:t xml:space="preserve"> Chun v Gilbert Leung </w:t>
      </w:r>
      <w:proofErr w:type="spellStart"/>
      <w:r w:rsidRPr="00841ED2">
        <w:rPr>
          <w:rFonts w:ascii="Times New Roman" w:hAnsi="Times New Roman" w:cs="Times New Roman"/>
          <w:i/>
          <w:sz w:val="18"/>
          <w:szCs w:val="18"/>
        </w:rPr>
        <w:t>Kam</w:t>
      </w:r>
      <w:proofErr w:type="spellEnd"/>
      <w:r w:rsidRPr="00841ED2">
        <w:rPr>
          <w:rFonts w:ascii="Times New Roman" w:hAnsi="Times New Roman" w:cs="Times New Roman"/>
          <w:i/>
          <w:sz w:val="18"/>
          <w:szCs w:val="18"/>
        </w:rPr>
        <w:t xml:space="preserve"> Ho </w:t>
      </w:r>
      <w:r w:rsidRPr="00841ED2">
        <w:rPr>
          <w:rFonts w:ascii="Times New Roman" w:hAnsi="Times New Roman" w:cs="Times New Roman"/>
          <w:sz w:val="18"/>
          <w:szCs w:val="18"/>
        </w:rPr>
        <w:t xml:space="preserve">[2002] EWCA </w:t>
      </w:r>
      <w:proofErr w:type="spellStart"/>
      <w:r w:rsidRPr="00841ED2">
        <w:rPr>
          <w:rFonts w:ascii="Times New Roman" w:hAnsi="Times New Roman" w:cs="Times New Roman"/>
          <w:sz w:val="18"/>
          <w:szCs w:val="18"/>
        </w:rPr>
        <w:t>Civ</w:t>
      </w:r>
      <w:proofErr w:type="spellEnd"/>
      <w:r w:rsidRPr="00841ED2">
        <w:rPr>
          <w:rFonts w:ascii="Times New Roman" w:hAnsi="Times New Roman" w:cs="Times New Roman"/>
          <w:sz w:val="18"/>
          <w:szCs w:val="18"/>
        </w:rPr>
        <w:t xml:space="preserve"> 1075; </w:t>
      </w:r>
      <w:r w:rsidRPr="00841ED2">
        <w:rPr>
          <w:rFonts w:ascii="Times New Roman" w:hAnsi="Times New Roman" w:cs="Times New Roman"/>
          <w:i/>
          <w:sz w:val="18"/>
          <w:szCs w:val="18"/>
        </w:rPr>
        <w:t xml:space="preserve">Henry v Henry </w:t>
      </w:r>
      <w:r w:rsidRPr="00841ED2">
        <w:rPr>
          <w:rFonts w:ascii="Times New Roman" w:hAnsi="Times New Roman" w:cs="Times New Roman"/>
          <w:sz w:val="18"/>
          <w:szCs w:val="18"/>
        </w:rPr>
        <w:t>[2010] UKPC 3, [2010] 1 All ER 988.</w:t>
      </w:r>
    </w:p>
  </w:footnote>
  <w:footnote w:id="7">
    <w:p w:rsidR="00FD67F2" w:rsidRPr="00841ED2" w:rsidRDefault="00FD67F2">
      <w:pPr>
        <w:pStyle w:val="FootnoteText"/>
        <w:rPr>
          <w:rFonts w:ascii="Times New Roman" w:hAnsi="Times New Roman" w:cs="Times New Roman"/>
          <w:i/>
          <w:sz w:val="18"/>
          <w:szCs w:val="18"/>
        </w:rPr>
      </w:pPr>
      <w:r w:rsidRPr="00841ED2">
        <w:rPr>
          <w:rStyle w:val="FootnoteReference"/>
          <w:rFonts w:ascii="Times New Roman" w:hAnsi="Times New Roman" w:cs="Times New Roman"/>
          <w:sz w:val="18"/>
          <w:szCs w:val="18"/>
        </w:rPr>
        <w:footnoteRef/>
      </w:r>
      <w:r w:rsidRPr="00841ED2">
        <w:rPr>
          <w:rFonts w:ascii="Times New Roman" w:hAnsi="Times New Roman" w:cs="Times New Roman"/>
          <w:sz w:val="18"/>
          <w:szCs w:val="18"/>
        </w:rPr>
        <w:t xml:space="preserve"> See e.g. </w:t>
      </w:r>
      <w:proofErr w:type="spellStart"/>
      <w:r w:rsidRPr="00841ED2">
        <w:rPr>
          <w:rFonts w:ascii="Times New Roman" w:hAnsi="Times New Roman" w:cs="Times New Roman"/>
          <w:i/>
          <w:sz w:val="18"/>
          <w:szCs w:val="18"/>
        </w:rPr>
        <w:t>Plimmer</w:t>
      </w:r>
      <w:proofErr w:type="spellEnd"/>
      <w:r w:rsidRPr="00841ED2">
        <w:rPr>
          <w:rFonts w:ascii="Times New Roman" w:hAnsi="Times New Roman" w:cs="Times New Roman"/>
          <w:i/>
          <w:sz w:val="18"/>
          <w:szCs w:val="18"/>
        </w:rPr>
        <w:t xml:space="preserve"> v Mayor, Councillors and Citizens of the City of Wellington </w:t>
      </w:r>
      <w:r w:rsidRPr="00841ED2">
        <w:rPr>
          <w:rFonts w:ascii="Times New Roman" w:hAnsi="Times New Roman" w:cs="Times New Roman"/>
          <w:sz w:val="18"/>
          <w:szCs w:val="18"/>
        </w:rPr>
        <w:t xml:space="preserve">(1884) 9 App </w:t>
      </w:r>
      <w:proofErr w:type="spellStart"/>
      <w:proofErr w:type="gramStart"/>
      <w:r w:rsidRPr="00841ED2">
        <w:rPr>
          <w:rFonts w:ascii="Times New Roman" w:hAnsi="Times New Roman" w:cs="Times New Roman"/>
          <w:sz w:val="18"/>
          <w:szCs w:val="18"/>
        </w:rPr>
        <w:t>Cas</w:t>
      </w:r>
      <w:proofErr w:type="spellEnd"/>
      <w:proofErr w:type="gramEnd"/>
      <w:r w:rsidRPr="00841ED2">
        <w:rPr>
          <w:rFonts w:ascii="Times New Roman" w:hAnsi="Times New Roman" w:cs="Times New Roman"/>
          <w:sz w:val="18"/>
          <w:szCs w:val="18"/>
        </w:rPr>
        <w:t xml:space="preserve"> 699 (PC); </w:t>
      </w:r>
      <w:r w:rsidRPr="00841ED2">
        <w:rPr>
          <w:rFonts w:ascii="Times New Roman" w:hAnsi="Times New Roman" w:cs="Times New Roman"/>
          <w:i/>
          <w:sz w:val="18"/>
          <w:szCs w:val="18"/>
        </w:rPr>
        <w:t xml:space="preserve">Parker v Parker </w:t>
      </w:r>
      <w:r w:rsidRPr="00841ED2">
        <w:rPr>
          <w:rFonts w:ascii="Times New Roman" w:hAnsi="Times New Roman" w:cs="Times New Roman"/>
          <w:sz w:val="18"/>
          <w:szCs w:val="18"/>
        </w:rPr>
        <w:t>[2003] EWHC 1846 (Ch).</w:t>
      </w:r>
    </w:p>
  </w:footnote>
  <w:footnote w:id="8">
    <w:p w:rsidR="00FD67F2" w:rsidRPr="00841ED2" w:rsidRDefault="00FD67F2">
      <w:pPr>
        <w:pStyle w:val="FootnoteText"/>
        <w:rPr>
          <w:rFonts w:ascii="Times New Roman" w:hAnsi="Times New Roman" w:cs="Times New Roman"/>
          <w:sz w:val="18"/>
          <w:szCs w:val="18"/>
        </w:rPr>
      </w:pPr>
      <w:r w:rsidRPr="00841ED2">
        <w:rPr>
          <w:rStyle w:val="FootnoteReference"/>
          <w:rFonts w:ascii="Times New Roman" w:hAnsi="Times New Roman" w:cs="Times New Roman"/>
          <w:sz w:val="18"/>
          <w:szCs w:val="18"/>
        </w:rPr>
        <w:footnoteRef/>
      </w:r>
      <w:r w:rsidRPr="00841ED2">
        <w:rPr>
          <w:rFonts w:ascii="Times New Roman" w:hAnsi="Times New Roman" w:cs="Times New Roman"/>
          <w:sz w:val="18"/>
          <w:szCs w:val="18"/>
        </w:rPr>
        <w:t xml:space="preserve"> See e.g. </w:t>
      </w:r>
      <w:r w:rsidRPr="00841ED2">
        <w:rPr>
          <w:rFonts w:ascii="Times New Roman" w:hAnsi="Times New Roman" w:cs="Times New Roman"/>
          <w:i/>
          <w:sz w:val="18"/>
          <w:szCs w:val="18"/>
        </w:rPr>
        <w:t xml:space="preserve">Campbell v Griffin </w:t>
      </w:r>
      <w:r w:rsidRPr="00841ED2">
        <w:rPr>
          <w:rFonts w:ascii="Times New Roman" w:hAnsi="Times New Roman" w:cs="Times New Roman"/>
          <w:sz w:val="18"/>
          <w:szCs w:val="18"/>
        </w:rPr>
        <w:t xml:space="preserve">[2001] EWCA </w:t>
      </w:r>
      <w:proofErr w:type="spellStart"/>
      <w:r w:rsidRPr="00841ED2">
        <w:rPr>
          <w:rFonts w:ascii="Times New Roman" w:hAnsi="Times New Roman" w:cs="Times New Roman"/>
          <w:sz w:val="18"/>
          <w:szCs w:val="18"/>
        </w:rPr>
        <w:t>Civ</w:t>
      </w:r>
      <w:proofErr w:type="spellEnd"/>
      <w:r w:rsidRPr="00841ED2">
        <w:rPr>
          <w:rFonts w:ascii="Times New Roman" w:hAnsi="Times New Roman" w:cs="Times New Roman"/>
          <w:sz w:val="18"/>
          <w:szCs w:val="18"/>
        </w:rPr>
        <w:t xml:space="preserve"> 990, [2001] WTLR 981 (where the duty to pay the sum was secured by an equitable charge on A’s property); </w:t>
      </w:r>
      <w:r w:rsidRPr="00841ED2">
        <w:rPr>
          <w:rFonts w:ascii="Times New Roman" w:hAnsi="Times New Roman" w:cs="Times New Roman"/>
          <w:i/>
          <w:sz w:val="18"/>
          <w:szCs w:val="18"/>
        </w:rPr>
        <w:t xml:space="preserve">Jennings v Rice </w:t>
      </w:r>
      <w:r w:rsidRPr="00841ED2">
        <w:rPr>
          <w:rFonts w:ascii="Times New Roman" w:hAnsi="Times New Roman" w:cs="Times New Roman"/>
          <w:sz w:val="18"/>
          <w:szCs w:val="18"/>
        </w:rPr>
        <w:t xml:space="preserve">[2002] EWCA </w:t>
      </w:r>
      <w:proofErr w:type="spellStart"/>
      <w:r w:rsidRPr="00841ED2">
        <w:rPr>
          <w:rFonts w:ascii="Times New Roman" w:hAnsi="Times New Roman" w:cs="Times New Roman"/>
          <w:sz w:val="18"/>
          <w:szCs w:val="18"/>
        </w:rPr>
        <w:t>Civ</w:t>
      </w:r>
      <w:proofErr w:type="spellEnd"/>
      <w:r w:rsidRPr="00841ED2">
        <w:rPr>
          <w:rFonts w:ascii="Times New Roman" w:hAnsi="Times New Roman" w:cs="Times New Roman"/>
          <w:sz w:val="18"/>
          <w:szCs w:val="18"/>
        </w:rPr>
        <w:t xml:space="preserve"> 159, [2003] 1 P &amp; CR 8 and </w:t>
      </w:r>
      <w:r w:rsidRPr="00841ED2">
        <w:rPr>
          <w:rFonts w:ascii="Times New Roman" w:hAnsi="Times New Roman" w:cs="Times New Roman"/>
          <w:i/>
          <w:sz w:val="18"/>
          <w:szCs w:val="18"/>
        </w:rPr>
        <w:t xml:space="preserve">Powell v </w:t>
      </w:r>
      <w:proofErr w:type="spellStart"/>
      <w:r w:rsidRPr="00841ED2">
        <w:rPr>
          <w:rFonts w:ascii="Times New Roman" w:hAnsi="Times New Roman" w:cs="Times New Roman"/>
          <w:i/>
          <w:sz w:val="18"/>
          <w:szCs w:val="18"/>
        </w:rPr>
        <w:t>Benney</w:t>
      </w:r>
      <w:proofErr w:type="spellEnd"/>
      <w:r w:rsidRPr="00841ED2">
        <w:rPr>
          <w:rFonts w:ascii="Times New Roman" w:hAnsi="Times New Roman" w:cs="Times New Roman"/>
          <w:i/>
          <w:sz w:val="18"/>
          <w:szCs w:val="18"/>
        </w:rPr>
        <w:t xml:space="preserve"> </w:t>
      </w:r>
      <w:r w:rsidRPr="00841ED2">
        <w:rPr>
          <w:rFonts w:ascii="Times New Roman" w:hAnsi="Times New Roman" w:cs="Times New Roman"/>
          <w:sz w:val="18"/>
          <w:szCs w:val="18"/>
        </w:rPr>
        <w:t xml:space="preserve">[2007] EWCA </w:t>
      </w:r>
      <w:proofErr w:type="spellStart"/>
      <w:r w:rsidRPr="00841ED2">
        <w:rPr>
          <w:rFonts w:ascii="Times New Roman" w:hAnsi="Times New Roman" w:cs="Times New Roman"/>
          <w:sz w:val="18"/>
          <w:szCs w:val="18"/>
        </w:rPr>
        <w:t>Civ</w:t>
      </w:r>
      <w:proofErr w:type="spellEnd"/>
      <w:r w:rsidRPr="00841ED2">
        <w:rPr>
          <w:rFonts w:ascii="Times New Roman" w:hAnsi="Times New Roman" w:cs="Times New Roman"/>
          <w:sz w:val="18"/>
          <w:szCs w:val="18"/>
        </w:rPr>
        <w:t xml:space="preserve"> 1283, </w:t>
      </w:r>
      <w:hyperlink r:id="rId1" w:history="1">
        <w:r w:rsidRPr="00841ED2">
          <w:rPr>
            <w:rStyle w:val="Hyperlink"/>
            <w:rFonts w:ascii="Times New Roman" w:hAnsi="Times New Roman" w:cs="Times New Roman"/>
            <w:color w:val="auto"/>
            <w:sz w:val="18"/>
            <w:szCs w:val="18"/>
            <w:u w:val="none"/>
            <w:shd w:val="clear" w:color="auto" w:fill="FFFFFF"/>
          </w:rPr>
          <w:t>[2008] 1 P &amp; CR DG12</w:t>
        </w:r>
      </w:hyperlink>
      <w:r w:rsidRPr="00841ED2">
        <w:rPr>
          <w:rFonts w:ascii="Times New Roman" w:hAnsi="Times New Roman" w:cs="Times New Roman"/>
          <w:sz w:val="18"/>
          <w:szCs w:val="18"/>
        </w:rPr>
        <w:t xml:space="preserve"> (where the duty was not so secured).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7D03"/>
    <w:multiLevelType w:val="hybridMultilevel"/>
    <w:tmpl w:val="B5F035BA"/>
    <w:lvl w:ilvl="0" w:tplc="0A4A316A">
      <w:start w:val="1"/>
      <w:numFmt w:val="decimalZero"/>
      <w:lvlText w:val="2.%1"/>
      <w:lvlJc w:val="left"/>
      <w:pPr>
        <w:ind w:left="720" w:hanging="360"/>
      </w:pPr>
      <w:rPr>
        <w:b/>
        <w:i w:val="0"/>
      </w:r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1E0A2FE5"/>
    <w:multiLevelType w:val="multilevel"/>
    <w:tmpl w:val="40402294"/>
    <w:lvl w:ilvl="0">
      <w:start w:val="1"/>
      <w:numFmt w:val="decimal"/>
      <w:lvlText w:val="1.0%1"/>
      <w:lvlJc w:val="left"/>
      <w:pPr>
        <w:ind w:left="1083"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DC1C2C"/>
    <w:multiLevelType w:val="hybridMultilevel"/>
    <w:tmpl w:val="B5F035BA"/>
    <w:lvl w:ilvl="0" w:tplc="0A4A316A">
      <w:start w:val="1"/>
      <w:numFmt w:val="decimalZero"/>
      <w:lvlText w:val="2.%1"/>
      <w:lvlJc w:val="left"/>
      <w:pPr>
        <w:ind w:left="720" w:hanging="360"/>
      </w:pPr>
      <w:rPr>
        <w:b/>
        <w:i w:val="0"/>
      </w:r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2A677357"/>
    <w:multiLevelType w:val="hybridMultilevel"/>
    <w:tmpl w:val="B5F035BA"/>
    <w:lvl w:ilvl="0" w:tplc="0A4A316A">
      <w:start w:val="1"/>
      <w:numFmt w:val="decimalZero"/>
      <w:lvlText w:val="2.%1"/>
      <w:lvlJc w:val="left"/>
      <w:pPr>
        <w:ind w:left="720" w:hanging="360"/>
      </w:pPr>
      <w:rPr>
        <w:b/>
        <w:i w:val="0"/>
      </w:r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467716FD"/>
    <w:multiLevelType w:val="multilevel"/>
    <w:tmpl w:val="4D2E56EA"/>
    <w:lvl w:ilvl="0">
      <w:start w:val="1"/>
      <w:numFmt w:val="decimal"/>
      <w:lvlText w:val="1.0%1"/>
      <w:lvlJc w:val="left"/>
      <w:pPr>
        <w:ind w:left="108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FF0D7E"/>
    <w:multiLevelType w:val="hybridMultilevel"/>
    <w:tmpl w:val="C5BC48DA"/>
    <w:lvl w:ilvl="0" w:tplc="F18C3B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CF6726"/>
    <w:multiLevelType w:val="hybridMultilevel"/>
    <w:tmpl w:val="F4B8F1DA"/>
    <w:lvl w:ilvl="0" w:tplc="7EEEECA2">
      <w:start w:val="1"/>
      <w:numFmt w:val="decimal"/>
      <w:lvlText w:val="1.0%1"/>
      <w:lvlJc w:val="left"/>
      <w:pPr>
        <w:ind w:left="216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FF257E"/>
    <w:multiLevelType w:val="hybridMultilevel"/>
    <w:tmpl w:val="85905894"/>
    <w:lvl w:ilvl="0" w:tplc="E742678A">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E00836"/>
    <w:multiLevelType w:val="hybridMultilevel"/>
    <w:tmpl w:val="290E78FE"/>
    <w:lvl w:ilvl="0" w:tplc="0809001B">
      <w:start w:val="1"/>
      <w:numFmt w:val="decimal"/>
      <w:lvlText w:val="%1."/>
      <w:lvlJc w:val="left"/>
      <w:pPr>
        <w:ind w:left="1083" w:hanging="360"/>
      </w:pPr>
      <w:rPr>
        <w:rFonts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8"/>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71"/>
    <w:rsid w:val="00036E34"/>
    <w:rsid w:val="00050CC7"/>
    <w:rsid w:val="0005571B"/>
    <w:rsid w:val="000615CC"/>
    <w:rsid w:val="000755C0"/>
    <w:rsid w:val="0009011E"/>
    <w:rsid w:val="00094C5E"/>
    <w:rsid w:val="000A506A"/>
    <w:rsid w:val="000D2A50"/>
    <w:rsid w:val="000E3771"/>
    <w:rsid w:val="000E7437"/>
    <w:rsid w:val="000F58FA"/>
    <w:rsid w:val="00110276"/>
    <w:rsid w:val="001339B2"/>
    <w:rsid w:val="00165EB8"/>
    <w:rsid w:val="001970F0"/>
    <w:rsid w:val="001A524B"/>
    <w:rsid w:val="001A7038"/>
    <w:rsid w:val="001B44BD"/>
    <w:rsid w:val="001F698C"/>
    <w:rsid w:val="00215DCF"/>
    <w:rsid w:val="00247AD5"/>
    <w:rsid w:val="00270354"/>
    <w:rsid w:val="00285DEF"/>
    <w:rsid w:val="002A2B2A"/>
    <w:rsid w:val="002C356A"/>
    <w:rsid w:val="002F280C"/>
    <w:rsid w:val="00302D25"/>
    <w:rsid w:val="00313876"/>
    <w:rsid w:val="003177AB"/>
    <w:rsid w:val="00331B0D"/>
    <w:rsid w:val="00345CD9"/>
    <w:rsid w:val="00347D40"/>
    <w:rsid w:val="00351C4A"/>
    <w:rsid w:val="00355125"/>
    <w:rsid w:val="00362F0D"/>
    <w:rsid w:val="00377725"/>
    <w:rsid w:val="00392FB5"/>
    <w:rsid w:val="00393F84"/>
    <w:rsid w:val="003B12D9"/>
    <w:rsid w:val="003B63E1"/>
    <w:rsid w:val="003C0055"/>
    <w:rsid w:val="003C41EA"/>
    <w:rsid w:val="003D2433"/>
    <w:rsid w:val="003D26C0"/>
    <w:rsid w:val="003E7710"/>
    <w:rsid w:val="003E7BF0"/>
    <w:rsid w:val="004545A5"/>
    <w:rsid w:val="0045476E"/>
    <w:rsid w:val="004720BC"/>
    <w:rsid w:val="00474AB3"/>
    <w:rsid w:val="00476C58"/>
    <w:rsid w:val="00483C42"/>
    <w:rsid w:val="004D337D"/>
    <w:rsid w:val="004E1339"/>
    <w:rsid w:val="004E2D3A"/>
    <w:rsid w:val="005259DD"/>
    <w:rsid w:val="00530F59"/>
    <w:rsid w:val="0054638F"/>
    <w:rsid w:val="00554D0E"/>
    <w:rsid w:val="00565B09"/>
    <w:rsid w:val="005664F6"/>
    <w:rsid w:val="00584FEF"/>
    <w:rsid w:val="00586694"/>
    <w:rsid w:val="005A25B3"/>
    <w:rsid w:val="005A3FAA"/>
    <w:rsid w:val="005A5749"/>
    <w:rsid w:val="005B6B6D"/>
    <w:rsid w:val="005D62D7"/>
    <w:rsid w:val="005E622E"/>
    <w:rsid w:val="005E7B52"/>
    <w:rsid w:val="005F2A28"/>
    <w:rsid w:val="00601049"/>
    <w:rsid w:val="00644EED"/>
    <w:rsid w:val="0064799C"/>
    <w:rsid w:val="006746B9"/>
    <w:rsid w:val="0068481B"/>
    <w:rsid w:val="006B660E"/>
    <w:rsid w:val="0072426E"/>
    <w:rsid w:val="00732F7D"/>
    <w:rsid w:val="0075252C"/>
    <w:rsid w:val="00753DD7"/>
    <w:rsid w:val="007576D0"/>
    <w:rsid w:val="007662C2"/>
    <w:rsid w:val="007A631F"/>
    <w:rsid w:val="007C3B2B"/>
    <w:rsid w:val="008064AA"/>
    <w:rsid w:val="00841ED2"/>
    <w:rsid w:val="00875D98"/>
    <w:rsid w:val="00877747"/>
    <w:rsid w:val="00885FF7"/>
    <w:rsid w:val="00895B2B"/>
    <w:rsid w:val="008C791F"/>
    <w:rsid w:val="008D79AE"/>
    <w:rsid w:val="008E7DF5"/>
    <w:rsid w:val="009274C7"/>
    <w:rsid w:val="00946F9C"/>
    <w:rsid w:val="00947F4A"/>
    <w:rsid w:val="00965B78"/>
    <w:rsid w:val="00991434"/>
    <w:rsid w:val="00995A70"/>
    <w:rsid w:val="009A68F0"/>
    <w:rsid w:val="009A6AA9"/>
    <w:rsid w:val="009D5955"/>
    <w:rsid w:val="009F71CF"/>
    <w:rsid w:val="00A20E31"/>
    <w:rsid w:val="00A219CA"/>
    <w:rsid w:val="00A2585C"/>
    <w:rsid w:val="00A27148"/>
    <w:rsid w:val="00A527FD"/>
    <w:rsid w:val="00A719F4"/>
    <w:rsid w:val="00A80E42"/>
    <w:rsid w:val="00A96C14"/>
    <w:rsid w:val="00AA7D84"/>
    <w:rsid w:val="00AB4FF8"/>
    <w:rsid w:val="00AD3FCD"/>
    <w:rsid w:val="00AE2150"/>
    <w:rsid w:val="00AE54E1"/>
    <w:rsid w:val="00AF2244"/>
    <w:rsid w:val="00AF347E"/>
    <w:rsid w:val="00AF6D51"/>
    <w:rsid w:val="00B04A99"/>
    <w:rsid w:val="00B17C38"/>
    <w:rsid w:val="00B83E01"/>
    <w:rsid w:val="00B8726B"/>
    <w:rsid w:val="00B9224D"/>
    <w:rsid w:val="00B94599"/>
    <w:rsid w:val="00C13247"/>
    <w:rsid w:val="00C33D11"/>
    <w:rsid w:val="00C3768B"/>
    <w:rsid w:val="00C55EE3"/>
    <w:rsid w:val="00C8562F"/>
    <w:rsid w:val="00C92758"/>
    <w:rsid w:val="00CA1533"/>
    <w:rsid w:val="00CD0EF4"/>
    <w:rsid w:val="00CD2533"/>
    <w:rsid w:val="00CD687C"/>
    <w:rsid w:val="00CE363F"/>
    <w:rsid w:val="00D0696C"/>
    <w:rsid w:val="00D07B7B"/>
    <w:rsid w:val="00D14031"/>
    <w:rsid w:val="00D3387D"/>
    <w:rsid w:val="00D4391C"/>
    <w:rsid w:val="00D70844"/>
    <w:rsid w:val="00D71F7D"/>
    <w:rsid w:val="00D978AB"/>
    <w:rsid w:val="00DA642A"/>
    <w:rsid w:val="00DE7F6E"/>
    <w:rsid w:val="00DF47D2"/>
    <w:rsid w:val="00E22927"/>
    <w:rsid w:val="00E239E4"/>
    <w:rsid w:val="00E24EA6"/>
    <w:rsid w:val="00E2634A"/>
    <w:rsid w:val="00E3004E"/>
    <w:rsid w:val="00E30579"/>
    <w:rsid w:val="00E57B2F"/>
    <w:rsid w:val="00E662D1"/>
    <w:rsid w:val="00E67CCC"/>
    <w:rsid w:val="00EC2194"/>
    <w:rsid w:val="00EC3661"/>
    <w:rsid w:val="00EC62BF"/>
    <w:rsid w:val="00EE4887"/>
    <w:rsid w:val="00EF4EF7"/>
    <w:rsid w:val="00F07AAC"/>
    <w:rsid w:val="00F107E2"/>
    <w:rsid w:val="00F270E7"/>
    <w:rsid w:val="00F27E6B"/>
    <w:rsid w:val="00F30789"/>
    <w:rsid w:val="00F41669"/>
    <w:rsid w:val="00F4680D"/>
    <w:rsid w:val="00F54553"/>
    <w:rsid w:val="00F65838"/>
    <w:rsid w:val="00F94897"/>
    <w:rsid w:val="00FA3F19"/>
    <w:rsid w:val="00FA5A5E"/>
    <w:rsid w:val="00FB27C5"/>
    <w:rsid w:val="00FB494F"/>
    <w:rsid w:val="00FD67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E3771"/>
    <w:pPr>
      <w:ind w:left="720"/>
      <w:contextualSpacing/>
    </w:pPr>
  </w:style>
  <w:style w:type="character" w:customStyle="1" w:styleId="FootnoteTextChar">
    <w:name w:val="Footnote Text Char"/>
    <w:aliases w:val="Char Char"/>
    <w:basedOn w:val="DefaultParagraphFont"/>
    <w:link w:val="FootnoteText"/>
    <w:uiPriority w:val="99"/>
    <w:locked/>
    <w:rsid w:val="000E3771"/>
  </w:style>
  <w:style w:type="paragraph" w:styleId="FootnoteText">
    <w:name w:val="footnote text"/>
    <w:aliases w:val="Char"/>
    <w:basedOn w:val="Normal"/>
    <w:link w:val="FootnoteTextChar"/>
    <w:uiPriority w:val="99"/>
    <w:unhideWhenUsed/>
    <w:rsid w:val="000E3771"/>
    <w:pPr>
      <w:spacing w:after="0" w:line="240" w:lineRule="auto"/>
    </w:pPr>
  </w:style>
  <w:style w:type="character" w:customStyle="1" w:styleId="FootnoteTextChar1">
    <w:name w:val="Footnote Text Char1"/>
    <w:basedOn w:val="DefaultParagraphFont"/>
    <w:uiPriority w:val="99"/>
    <w:semiHidden/>
    <w:rsid w:val="000E3771"/>
    <w:rPr>
      <w:sz w:val="20"/>
      <w:szCs w:val="20"/>
    </w:rPr>
  </w:style>
  <w:style w:type="character" w:styleId="FootnoteReference">
    <w:name w:val="footnote reference"/>
    <w:uiPriority w:val="99"/>
    <w:unhideWhenUsed/>
    <w:rsid w:val="000E3771"/>
    <w:rPr>
      <w:vertAlign w:val="superscript"/>
    </w:rPr>
  </w:style>
  <w:style w:type="character" w:styleId="Hyperlink">
    <w:name w:val="Hyperlink"/>
    <w:uiPriority w:val="99"/>
    <w:unhideWhenUsed/>
    <w:rsid w:val="00895B2B"/>
    <w:rPr>
      <w:color w:val="0000FF"/>
      <w:u w:val="single"/>
    </w:rPr>
  </w:style>
  <w:style w:type="paragraph" w:styleId="Header">
    <w:name w:val="header"/>
    <w:basedOn w:val="Normal"/>
    <w:link w:val="HeaderChar"/>
    <w:uiPriority w:val="99"/>
    <w:semiHidden/>
    <w:unhideWhenUsed/>
    <w:rsid w:val="001339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39B2"/>
  </w:style>
  <w:style w:type="paragraph" w:styleId="Footer">
    <w:name w:val="footer"/>
    <w:basedOn w:val="Normal"/>
    <w:link w:val="FooterChar"/>
    <w:uiPriority w:val="99"/>
    <w:unhideWhenUsed/>
    <w:rsid w:val="00133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9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E3771"/>
    <w:pPr>
      <w:ind w:left="720"/>
      <w:contextualSpacing/>
    </w:pPr>
  </w:style>
  <w:style w:type="character" w:customStyle="1" w:styleId="FootnoteTextChar">
    <w:name w:val="Footnote Text Char"/>
    <w:aliases w:val="Char Char"/>
    <w:basedOn w:val="DefaultParagraphFont"/>
    <w:link w:val="FootnoteText"/>
    <w:uiPriority w:val="99"/>
    <w:locked/>
    <w:rsid w:val="000E3771"/>
  </w:style>
  <w:style w:type="paragraph" w:styleId="FootnoteText">
    <w:name w:val="footnote text"/>
    <w:aliases w:val="Char"/>
    <w:basedOn w:val="Normal"/>
    <w:link w:val="FootnoteTextChar"/>
    <w:uiPriority w:val="99"/>
    <w:unhideWhenUsed/>
    <w:rsid w:val="000E3771"/>
    <w:pPr>
      <w:spacing w:after="0" w:line="240" w:lineRule="auto"/>
    </w:pPr>
  </w:style>
  <w:style w:type="character" w:customStyle="1" w:styleId="FootnoteTextChar1">
    <w:name w:val="Footnote Text Char1"/>
    <w:basedOn w:val="DefaultParagraphFont"/>
    <w:uiPriority w:val="99"/>
    <w:semiHidden/>
    <w:rsid w:val="000E3771"/>
    <w:rPr>
      <w:sz w:val="20"/>
      <w:szCs w:val="20"/>
    </w:rPr>
  </w:style>
  <w:style w:type="character" w:styleId="FootnoteReference">
    <w:name w:val="footnote reference"/>
    <w:uiPriority w:val="99"/>
    <w:unhideWhenUsed/>
    <w:rsid w:val="000E3771"/>
    <w:rPr>
      <w:vertAlign w:val="superscript"/>
    </w:rPr>
  </w:style>
  <w:style w:type="character" w:styleId="Hyperlink">
    <w:name w:val="Hyperlink"/>
    <w:uiPriority w:val="99"/>
    <w:unhideWhenUsed/>
    <w:rsid w:val="00895B2B"/>
    <w:rPr>
      <w:color w:val="0000FF"/>
      <w:u w:val="single"/>
    </w:rPr>
  </w:style>
  <w:style w:type="paragraph" w:styleId="Header">
    <w:name w:val="header"/>
    <w:basedOn w:val="Normal"/>
    <w:link w:val="HeaderChar"/>
    <w:uiPriority w:val="99"/>
    <w:semiHidden/>
    <w:unhideWhenUsed/>
    <w:rsid w:val="001339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39B2"/>
  </w:style>
  <w:style w:type="paragraph" w:styleId="Footer">
    <w:name w:val="footer"/>
    <w:basedOn w:val="Normal"/>
    <w:link w:val="FooterChar"/>
    <w:uiPriority w:val="99"/>
    <w:unhideWhenUsed/>
    <w:rsid w:val="00133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26120">
      <w:bodyDiv w:val="1"/>
      <w:marLeft w:val="0"/>
      <w:marRight w:val="0"/>
      <w:marTop w:val="0"/>
      <w:marBottom w:val="0"/>
      <w:divBdr>
        <w:top w:val="none" w:sz="0" w:space="0" w:color="auto"/>
        <w:left w:val="none" w:sz="0" w:space="0" w:color="auto"/>
        <w:bottom w:val="none" w:sz="0" w:space="0" w:color="auto"/>
        <w:right w:val="none" w:sz="0" w:space="0" w:color="auto"/>
      </w:divBdr>
    </w:div>
    <w:div w:id="471754538">
      <w:bodyDiv w:val="1"/>
      <w:marLeft w:val="0"/>
      <w:marRight w:val="0"/>
      <w:marTop w:val="0"/>
      <w:marBottom w:val="0"/>
      <w:divBdr>
        <w:top w:val="none" w:sz="0" w:space="0" w:color="auto"/>
        <w:left w:val="none" w:sz="0" w:space="0" w:color="auto"/>
        <w:bottom w:val="none" w:sz="0" w:space="0" w:color="auto"/>
        <w:right w:val="none" w:sz="0" w:space="0" w:color="auto"/>
      </w:divBdr>
    </w:div>
    <w:div w:id="997609361">
      <w:bodyDiv w:val="1"/>
      <w:marLeft w:val="0"/>
      <w:marRight w:val="0"/>
      <w:marTop w:val="0"/>
      <w:marBottom w:val="0"/>
      <w:divBdr>
        <w:top w:val="none" w:sz="0" w:space="0" w:color="auto"/>
        <w:left w:val="none" w:sz="0" w:space="0" w:color="auto"/>
        <w:bottom w:val="none" w:sz="0" w:space="0" w:color="auto"/>
        <w:right w:val="none" w:sz="0" w:space="0" w:color="auto"/>
      </w:divBdr>
    </w:div>
    <w:div w:id="1083259624">
      <w:bodyDiv w:val="1"/>
      <w:marLeft w:val="0"/>
      <w:marRight w:val="0"/>
      <w:marTop w:val="0"/>
      <w:marBottom w:val="0"/>
      <w:divBdr>
        <w:top w:val="none" w:sz="0" w:space="0" w:color="auto"/>
        <w:left w:val="none" w:sz="0" w:space="0" w:color="auto"/>
        <w:bottom w:val="none" w:sz="0" w:space="0" w:color="auto"/>
        <w:right w:val="none" w:sz="0" w:space="0" w:color="auto"/>
      </w:divBdr>
    </w:div>
    <w:div w:id="112866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login.westlaw.co.uk/maf/wluk/app/document?&amp;suppsrguid=ia744d0650000013f7cc620893610b380&amp;docguid=I64645B40ECD511DC89FF9DE6BAA76F6C&amp;hitguid=IADF894F0A3C011DCA647DFF81052DE2B&amp;rank=1&amp;spos=1&amp;epos=1&amp;td=1&amp;crumb-action=append&amp;context=103&amp;resolvein=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2199</Words>
  <Characters>12538</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James Morgan</cp:lastModifiedBy>
  <cp:revision>2</cp:revision>
  <cp:lastPrinted>2014-02-24T16:01:00Z</cp:lastPrinted>
  <dcterms:created xsi:type="dcterms:W3CDTF">2014-06-27T08:16:00Z</dcterms:created>
  <dcterms:modified xsi:type="dcterms:W3CDTF">2014-06-27T08:16:00Z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-1233005960</vt:i4>
  </property>
  <property fmtid="{D5CDD505-2E9C-101B-9397-08002B2CF9AE}" pid="3" name="_NewReviewCycle">
    <vt:lpwstr/>
  </property>
  <property fmtid="{D5CDD505-2E9C-101B-9397-08002B2CF9AE}" pid="4" name="_EmailSubject">
    <vt:lpwstr>MCCBA</vt:lpwstr>
  </property>
  <property fmtid="{D5CDD505-2E9C-101B-9397-08002B2CF9AE}" pid="5" name="_AuthorEmail">
    <vt:lpwstr>ben.mcfarlane@ucl.ac.uk</vt:lpwstr>
  </property>
  <property fmtid="{D5CDD505-2E9C-101B-9397-08002B2CF9AE}" pid="6" name="_AuthorEmailDisplayName">
    <vt:lpwstr>McFarlane, Ben</vt:lpwstr>
  </property>
</Properties>
</file>